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F491" w14:textId="63FEF99E" w:rsidR="0073697F" w:rsidRPr="0073697F" w:rsidRDefault="0073697F" w:rsidP="0073697F">
      <w:pPr>
        <w:spacing w:after="0"/>
        <w:jc w:val="center"/>
        <w:rPr>
          <w:rFonts w:ascii="Times New Roman" w:hAnsi="Times New Roman" w:cs="Times New Roman"/>
          <w:b/>
          <w:sz w:val="24"/>
          <w:szCs w:val="24"/>
        </w:rPr>
      </w:pPr>
      <w:r w:rsidRPr="0073697F">
        <w:rPr>
          <w:rFonts w:ascii="Times New Roman" w:hAnsi="Times New Roman" w:cs="Times New Roman"/>
          <w:b/>
          <w:sz w:val="24"/>
          <w:szCs w:val="24"/>
        </w:rPr>
        <w:t xml:space="preserve">VDR LOWERS THE RISK OF INFECTION TO IMPROVE THE QUALITY OF NURSING SERVICES: </w:t>
      </w:r>
      <w:r w:rsidRPr="0073697F">
        <w:rPr>
          <w:rFonts w:ascii="Times New Roman" w:eastAsia="Times New Roman" w:hAnsi="Times New Roman" w:cs="Times New Roman"/>
          <w:b/>
          <w:sz w:val="24"/>
          <w:szCs w:val="24"/>
          <w:lang w:eastAsia="id-ID"/>
        </w:rPr>
        <w:t>A SYSTEMATIC REVIEW</w:t>
      </w:r>
    </w:p>
    <w:p w14:paraId="743FBFA2"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b/>
          <w:bCs/>
          <w:sz w:val="24"/>
          <w:szCs w:val="24"/>
          <w:lang w:eastAsia="id-ID"/>
        </w:rPr>
      </w:pPr>
    </w:p>
    <w:p w14:paraId="4DBE4C5F" w14:textId="7F8A35D2" w:rsidR="0073697F" w:rsidRPr="0073697F" w:rsidRDefault="0073697F" w:rsidP="0073697F">
      <w:pPr>
        <w:autoSpaceDE w:val="0"/>
        <w:autoSpaceDN w:val="0"/>
        <w:adjustRightInd w:val="0"/>
        <w:spacing w:after="0"/>
        <w:jc w:val="center"/>
        <w:rPr>
          <w:rFonts w:ascii="Times New Roman" w:eastAsia="Times New Roman" w:hAnsi="Times New Roman" w:cs="Times New Roman"/>
          <w:b/>
          <w:bCs/>
          <w:sz w:val="24"/>
          <w:szCs w:val="24"/>
          <w:vertAlign w:val="superscript"/>
          <w:lang w:eastAsia="id-ID"/>
        </w:rPr>
      </w:pPr>
      <w:r w:rsidRPr="0073697F">
        <w:rPr>
          <w:rFonts w:ascii="Times New Roman" w:eastAsia="Times New Roman" w:hAnsi="Times New Roman" w:cs="Times New Roman"/>
          <w:b/>
          <w:bCs/>
          <w:sz w:val="24"/>
          <w:szCs w:val="24"/>
          <w:lang w:eastAsia="id-ID"/>
        </w:rPr>
        <w:t>Andi Mappanganro</w:t>
      </w:r>
      <w:r w:rsidRPr="0073697F">
        <w:rPr>
          <w:rFonts w:ascii="Times New Roman" w:eastAsia="Times New Roman" w:hAnsi="Times New Roman" w:cs="Times New Roman"/>
          <w:b/>
          <w:bCs/>
          <w:sz w:val="24"/>
          <w:szCs w:val="24"/>
          <w:vertAlign w:val="superscript"/>
          <w:lang w:eastAsia="id-ID"/>
        </w:rPr>
        <w:t>1,2</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Ariyanti</w:t>
      </w:r>
      <w:proofErr w:type="spellEnd"/>
      <w:r w:rsidRPr="0073697F">
        <w:rPr>
          <w:rFonts w:ascii="Times New Roman" w:eastAsia="Times New Roman" w:hAnsi="Times New Roman" w:cs="Times New Roman"/>
          <w:b/>
          <w:bCs/>
          <w:sz w:val="24"/>
          <w:szCs w:val="24"/>
          <w:lang w:eastAsia="id-ID"/>
        </w:rPr>
        <w:t xml:space="preserve"> Saleh</w:t>
      </w:r>
      <w:r w:rsidRPr="0073697F">
        <w:rPr>
          <w:rFonts w:ascii="Times New Roman" w:eastAsia="Times New Roman" w:hAnsi="Times New Roman" w:cs="Times New Roman"/>
          <w:b/>
          <w:bCs/>
          <w:sz w:val="24"/>
          <w:szCs w:val="24"/>
          <w:vertAlign w:val="superscript"/>
          <w:lang w:eastAsia="id-ID"/>
        </w:rPr>
        <w:t>3*</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Mochammad</w:t>
      </w:r>
      <w:proofErr w:type="spellEnd"/>
      <w:r w:rsidRPr="0073697F">
        <w:rPr>
          <w:rFonts w:ascii="Times New Roman" w:eastAsia="Times New Roman" w:hAnsi="Times New Roman" w:cs="Times New Roman"/>
          <w:b/>
          <w:bCs/>
          <w:sz w:val="24"/>
          <w:szCs w:val="24"/>
          <w:lang w:eastAsia="id-ID"/>
        </w:rPr>
        <w:t xml:space="preserve"> Hatta</w:t>
      </w:r>
      <w:r w:rsidRPr="0073697F">
        <w:rPr>
          <w:rFonts w:ascii="Times New Roman" w:eastAsia="Times New Roman" w:hAnsi="Times New Roman" w:cs="Times New Roman"/>
          <w:b/>
          <w:bCs/>
          <w:sz w:val="24"/>
          <w:szCs w:val="24"/>
          <w:vertAlign w:val="superscript"/>
          <w:lang w:eastAsia="id-ID"/>
        </w:rPr>
        <w:t>4</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Kusrini</w:t>
      </w:r>
      <w:proofErr w:type="spellEnd"/>
      <w:r w:rsidRPr="0073697F">
        <w:rPr>
          <w:rFonts w:ascii="Times New Roman" w:eastAsia="Times New Roman" w:hAnsi="Times New Roman" w:cs="Times New Roman"/>
          <w:b/>
          <w:bCs/>
          <w:sz w:val="24"/>
          <w:szCs w:val="24"/>
          <w:lang w:eastAsia="id-ID"/>
        </w:rPr>
        <w:t xml:space="preserve"> S Kadar</w:t>
      </w:r>
      <w:r w:rsidRPr="0073697F">
        <w:rPr>
          <w:rFonts w:ascii="Times New Roman" w:eastAsia="Times New Roman" w:hAnsi="Times New Roman" w:cs="Times New Roman"/>
          <w:b/>
          <w:bCs/>
          <w:sz w:val="24"/>
          <w:szCs w:val="24"/>
          <w:vertAlign w:val="superscript"/>
          <w:lang w:eastAsia="id-ID"/>
        </w:rPr>
        <w:t>5</w:t>
      </w:r>
      <w:r w:rsidRPr="0073697F">
        <w:rPr>
          <w:rFonts w:ascii="Times New Roman" w:eastAsia="Times New Roman" w:hAnsi="Times New Roman" w:cs="Times New Roman"/>
          <w:b/>
          <w:bCs/>
          <w:sz w:val="24"/>
          <w:szCs w:val="24"/>
          <w:lang w:eastAsia="id-ID"/>
        </w:rPr>
        <w:t>, Nursalam</w:t>
      </w:r>
      <w:r w:rsidRPr="0073697F">
        <w:rPr>
          <w:rFonts w:ascii="Times New Roman" w:eastAsia="Times New Roman" w:hAnsi="Times New Roman" w:cs="Times New Roman"/>
          <w:b/>
          <w:bCs/>
          <w:sz w:val="24"/>
          <w:szCs w:val="24"/>
          <w:vertAlign w:val="superscript"/>
          <w:lang w:eastAsia="id-ID"/>
        </w:rPr>
        <w:t>6</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Agussalim</w:t>
      </w:r>
      <w:proofErr w:type="spellEnd"/>
      <w:r w:rsidRPr="0073697F">
        <w:rPr>
          <w:rFonts w:ascii="Times New Roman" w:eastAsia="Times New Roman" w:hAnsi="Times New Roman" w:cs="Times New Roman"/>
          <w:b/>
          <w:bCs/>
          <w:sz w:val="24"/>
          <w:szCs w:val="24"/>
          <w:lang w:eastAsia="id-ID"/>
        </w:rPr>
        <w:t xml:space="preserve"> Bukhari</w:t>
      </w:r>
      <w:r w:rsidRPr="0073697F">
        <w:rPr>
          <w:rFonts w:ascii="Times New Roman" w:eastAsia="Times New Roman" w:hAnsi="Times New Roman" w:cs="Times New Roman"/>
          <w:b/>
          <w:bCs/>
          <w:sz w:val="24"/>
          <w:szCs w:val="24"/>
          <w:vertAlign w:val="superscript"/>
          <w:lang w:eastAsia="id-ID"/>
        </w:rPr>
        <w:t>7</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Saldy</w:t>
      </w:r>
      <w:proofErr w:type="spellEnd"/>
      <w:r w:rsidRPr="0073697F">
        <w:rPr>
          <w:rFonts w:ascii="Times New Roman" w:eastAsia="Times New Roman" w:hAnsi="Times New Roman" w:cs="Times New Roman"/>
          <w:b/>
          <w:bCs/>
          <w:sz w:val="24"/>
          <w:szCs w:val="24"/>
          <w:lang w:eastAsia="id-ID"/>
        </w:rPr>
        <w:t xml:space="preserve"> Yusuf</w:t>
      </w:r>
      <w:r w:rsidRPr="0073697F">
        <w:rPr>
          <w:rFonts w:ascii="Times New Roman" w:eastAsia="Times New Roman" w:hAnsi="Times New Roman" w:cs="Times New Roman"/>
          <w:b/>
          <w:bCs/>
          <w:sz w:val="24"/>
          <w:szCs w:val="24"/>
          <w:vertAlign w:val="superscript"/>
          <w:lang w:eastAsia="id-ID"/>
        </w:rPr>
        <w:t>8</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Kidri</w:t>
      </w:r>
      <w:proofErr w:type="spellEnd"/>
      <w:r w:rsidRPr="0073697F">
        <w:rPr>
          <w:rFonts w:ascii="Times New Roman" w:eastAsia="Times New Roman" w:hAnsi="Times New Roman" w:cs="Times New Roman"/>
          <w:b/>
          <w:bCs/>
          <w:sz w:val="24"/>
          <w:szCs w:val="24"/>
          <w:lang w:eastAsia="id-ID"/>
        </w:rPr>
        <w:t xml:space="preserve"> Alwi</w:t>
      </w:r>
      <w:r w:rsidRPr="0073697F">
        <w:rPr>
          <w:rFonts w:ascii="Times New Roman" w:eastAsia="Times New Roman" w:hAnsi="Times New Roman" w:cs="Times New Roman"/>
          <w:b/>
          <w:bCs/>
          <w:sz w:val="24"/>
          <w:szCs w:val="24"/>
          <w:vertAlign w:val="superscript"/>
          <w:lang w:eastAsia="id-ID"/>
        </w:rPr>
        <w:t>9</w:t>
      </w:r>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Aulia</w:t>
      </w:r>
      <w:proofErr w:type="spellEnd"/>
      <w:r w:rsidRPr="0073697F">
        <w:rPr>
          <w:rFonts w:ascii="Times New Roman" w:eastAsia="Times New Roman" w:hAnsi="Times New Roman" w:cs="Times New Roman"/>
          <w:b/>
          <w:bCs/>
          <w:sz w:val="24"/>
          <w:szCs w:val="24"/>
          <w:lang w:eastAsia="id-ID"/>
        </w:rPr>
        <w:t xml:space="preserve"> </w:t>
      </w:r>
      <w:proofErr w:type="spellStart"/>
      <w:r w:rsidRPr="0073697F">
        <w:rPr>
          <w:rFonts w:ascii="Times New Roman" w:eastAsia="Times New Roman" w:hAnsi="Times New Roman" w:cs="Times New Roman"/>
          <w:b/>
          <w:bCs/>
          <w:sz w:val="24"/>
          <w:szCs w:val="24"/>
          <w:lang w:eastAsia="id-ID"/>
        </w:rPr>
        <w:t>Insani</w:t>
      </w:r>
      <w:proofErr w:type="spellEnd"/>
      <w:r w:rsidRPr="0073697F">
        <w:rPr>
          <w:rFonts w:ascii="Times New Roman" w:eastAsia="Times New Roman" w:hAnsi="Times New Roman" w:cs="Times New Roman"/>
          <w:b/>
          <w:bCs/>
          <w:sz w:val="24"/>
          <w:szCs w:val="24"/>
          <w:lang w:eastAsia="id-ID"/>
        </w:rPr>
        <w:t xml:space="preserve"> Latif</w:t>
      </w:r>
      <w:r w:rsidRPr="0073697F">
        <w:rPr>
          <w:rFonts w:ascii="Times New Roman" w:eastAsia="Times New Roman" w:hAnsi="Times New Roman" w:cs="Times New Roman"/>
          <w:b/>
          <w:bCs/>
          <w:sz w:val="24"/>
          <w:szCs w:val="24"/>
          <w:vertAlign w:val="superscript"/>
          <w:lang w:eastAsia="id-ID"/>
        </w:rPr>
        <w:t>10</w:t>
      </w:r>
      <w:r w:rsidRPr="0073697F">
        <w:rPr>
          <w:rFonts w:ascii="Times New Roman" w:eastAsia="Times New Roman" w:hAnsi="Times New Roman" w:cs="Times New Roman"/>
          <w:b/>
          <w:bCs/>
          <w:sz w:val="24"/>
          <w:szCs w:val="24"/>
          <w:lang w:eastAsia="id-ID"/>
        </w:rPr>
        <w:t>, Abdul Thalib</w:t>
      </w:r>
      <w:r w:rsidRPr="0073697F">
        <w:rPr>
          <w:rFonts w:ascii="Times New Roman" w:eastAsia="Times New Roman" w:hAnsi="Times New Roman" w:cs="Times New Roman"/>
          <w:b/>
          <w:bCs/>
          <w:sz w:val="24"/>
          <w:szCs w:val="24"/>
          <w:vertAlign w:val="superscript"/>
          <w:lang w:eastAsia="id-ID"/>
        </w:rPr>
        <w:t>11</w:t>
      </w:r>
    </w:p>
    <w:p w14:paraId="3547FD8B"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1</w:t>
      </w:r>
      <w:r w:rsidRPr="0073697F">
        <w:rPr>
          <w:rFonts w:ascii="Times New Roman" w:eastAsia="Times New Roman" w:hAnsi="Times New Roman" w:cs="Times New Roman"/>
          <w:sz w:val="24"/>
          <w:szCs w:val="24"/>
          <w:lang w:eastAsia="id-ID"/>
        </w:rPr>
        <w:t xml:space="preserve">Doctoral Student of Medical Sciences, Doctoral Study Program in Medical Sciences, Faculty of Medicine,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xml:space="preserve"> University, Indonesia</w:t>
      </w:r>
    </w:p>
    <w:p w14:paraId="25D67BEA"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2</w:t>
      </w:r>
      <w:r w:rsidRPr="0073697F">
        <w:rPr>
          <w:rFonts w:ascii="Times New Roman" w:eastAsia="Times New Roman" w:hAnsi="Times New Roman" w:cs="Times New Roman"/>
          <w:sz w:val="24"/>
          <w:szCs w:val="24"/>
          <w:lang w:eastAsia="id-ID"/>
        </w:rPr>
        <w:t>Nursing Department, Faculty of Public Health, Universitas Muslim Indonesia, Makassar, Indonesia</w:t>
      </w:r>
    </w:p>
    <w:p w14:paraId="305C7F40"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3</w:t>
      </w:r>
      <w:r w:rsidRPr="0073697F">
        <w:rPr>
          <w:rFonts w:ascii="Times New Roman" w:eastAsia="Times New Roman" w:hAnsi="Times New Roman" w:cs="Times New Roman"/>
          <w:sz w:val="24"/>
          <w:szCs w:val="24"/>
          <w:lang w:eastAsia="id-ID"/>
        </w:rPr>
        <w:t xml:space="preserve">Faculty of Nursing, Universitas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Makassar, Indonesia</w:t>
      </w:r>
    </w:p>
    <w:p w14:paraId="678A796A"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4</w:t>
      </w:r>
      <w:r w:rsidRPr="0073697F">
        <w:rPr>
          <w:rFonts w:ascii="Times New Roman" w:eastAsia="Times New Roman" w:hAnsi="Times New Roman" w:cs="Times New Roman"/>
          <w:sz w:val="24"/>
          <w:szCs w:val="24"/>
          <w:lang w:eastAsia="id-ID"/>
        </w:rPr>
        <w:t xml:space="preserve">Faculty of Medicine, Universitas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Makassar, Indonesia</w:t>
      </w:r>
    </w:p>
    <w:p w14:paraId="4660B611"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5</w:t>
      </w:r>
      <w:r w:rsidRPr="0073697F">
        <w:rPr>
          <w:rFonts w:ascii="Times New Roman" w:eastAsia="Times New Roman" w:hAnsi="Times New Roman" w:cs="Times New Roman"/>
          <w:sz w:val="24"/>
          <w:szCs w:val="24"/>
          <w:lang w:eastAsia="id-ID"/>
        </w:rPr>
        <w:t xml:space="preserve">Faculty of Nursing, Universitas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Makassar, Indonesia</w:t>
      </w:r>
    </w:p>
    <w:p w14:paraId="07358CDC"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6</w:t>
      </w:r>
      <w:r w:rsidRPr="0073697F">
        <w:rPr>
          <w:rFonts w:ascii="Times New Roman" w:eastAsia="Times New Roman" w:hAnsi="Times New Roman" w:cs="Times New Roman"/>
          <w:sz w:val="24"/>
          <w:szCs w:val="24"/>
          <w:lang w:eastAsia="id-ID"/>
        </w:rPr>
        <w:t xml:space="preserve">Faculty of Nursing, Universitas </w:t>
      </w:r>
      <w:proofErr w:type="spellStart"/>
      <w:r w:rsidRPr="0073697F">
        <w:rPr>
          <w:rFonts w:ascii="Times New Roman" w:eastAsia="Times New Roman" w:hAnsi="Times New Roman" w:cs="Times New Roman"/>
          <w:sz w:val="24"/>
          <w:szCs w:val="24"/>
          <w:lang w:eastAsia="id-ID"/>
        </w:rPr>
        <w:t>Airlangga</w:t>
      </w:r>
      <w:proofErr w:type="spellEnd"/>
      <w:r w:rsidRPr="0073697F">
        <w:rPr>
          <w:rFonts w:ascii="Times New Roman" w:eastAsia="Times New Roman" w:hAnsi="Times New Roman" w:cs="Times New Roman"/>
          <w:sz w:val="24"/>
          <w:szCs w:val="24"/>
          <w:lang w:eastAsia="id-ID"/>
        </w:rPr>
        <w:t>, Surabaya, Indonesia</w:t>
      </w:r>
    </w:p>
    <w:p w14:paraId="2C698FDE"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7</w:t>
      </w:r>
      <w:r w:rsidRPr="0073697F">
        <w:rPr>
          <w:rFonts w:ascii="Times New Roman" w:eastAsia="Times New Roman" w:hAnsi="Times New Roman" w:cs="Times New Roman"/>
          <w:sz w:val="24"/>
          <w:szCs w:val="24"/>
          <w:lang w:eastAsia="id-ID"/>
        </w:rPr>
        <w:t xml:space="preserve">Faculty of Medicine, Universitas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Makassar, Indonesia</w:t>
      </w:r>
    </w:p>
    <w:p w14:paraId="68C0F71C"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8</w:t>
      </w:r>
      <w:r w:rsidRPr="0073697F">
        <w:rPr>
          <w:rFonts w:ascii="Times New Roman" w:eastAsia="Times New Roman" w:hAnsi="Times New Roman" w:cs="Times New Roman"/>
          <w:sz w:val="24"/>
          <w:szCs w:val="24"/>
          <w:lang w:eastAsia="id-ID"/>
        </w:rPr>
        <w:t xml:space="preserve">Faculty of Nursing, Universitas </w:t>
      </w:r>
      <w:proofErr w:type="spellStart"/>
      <w:r w:rsidRPr="0073697F">
        <w:rPr>
          <w:rFonts w:ascii="Times New Roman" w:eastAsia="Times New Roman" w:hAnsi="Times New Roman" w:cs="Times New Roman"/>
          <w:sz w:val="24"/>
          <w:szCs w:val="24"/>
          <w:lang w:eastAsia="id-ID"/>
        </w:rPr>
        <w:t>Hasanuddin</w:t>
      </w:r>
      <w:proofErr w:type="spellEnd"/>
      <w:r w:rsidRPr="0073697F">
        <w:rPr>
          <w:rFonts w:ascii="Times New Roman" w:eastAsia="Times New Roman" w:hAnsi="Times New Roman" w:cs="Times New Roman"/>
          <w:sz w:val="24"/>
          <w:szCs w:val="24"/>
          <w:lang w:eastAsia="id-ID"/>
        </w:rPr>
        <w:t>, Makassar, Indonesia</w:t>
      </w:r>
    </w:p>
    <w:p w14:paraId="4DD4E79B"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9</w:t>
      </w:r>
      <w:r w:rsidRPr="0073697F">
        <w:rPr>
          <w:rFonts w:ascii="Times New Roman" w:eastAsia="Times New Roman" w:hAnsi="Times New Roman" w:cs="Times New Roman"/>
          <w:sz w:val="24"/>
          <w:szCs w:val="24"/>
          <w:lang w:eastAsia="id-ID"/>
        </w:rPr>
        <w:t>Faculty of Public Health, Universitas Muslim Indonesia, Makassar, Indonesia</w:t>
      </w:r>
    </w:p>
    <w:p w14:paraId="7BC5F780" w14:textId="77777777" w:rsidR="0073697F" w:rsidRPr="0073697F" w:rsidRDefault="0073697F" w:rsidP="0073697F">
      <w:pPr>
        <w:autoSpaceDE w:val="0"/>
        <w:autoSpaceDN w:val="0"/>
        <w:adjustRightInd w:val="0"/>
        <w:spacing w:after="0"/>
        <w:jc w:val="center"/>
        <w:rPr>
          <w:rFonts w:ascii="Times New Roman" w:hAnsi="Times New Roman" w:cs="Times New Roman"/>
          <w:sz w:val="24"/>
          <w:szCs w:val="24"/>
          <w:shd w:val="clear" w:color="auto" w:fill="FFFFFF"/>
        </w:rPr>
      </w:pPr>
      <w:r w:rsidRPr="0073697F">
        <w:rPr>
          <w:rFonts w:ascii="Times New Roman" w:eastAsia="Times New Roman" w:hAnsi="Times New Roman" w:cs="Times New Roman"/>
          <w:sz w:val="24"/>
          <w:szCs w:val="24"/>
          <w:vertAlign w:val="superscript"/>
          <w:lang w:eastAsia="id-ID"/>
        </w:rPr>
        <w:t>10</w:t>
      </w:r>
      <w:r w:rsidRPr="0073697F">
        <w:rPr>
          <w:rFonts w:ascii="Times New Roman" w:eastAsia="Times New Roman" w:hAnsi="Times New Roman" w:cs="Times New Roman"/>
          <w:sz w:val="24"/>
          <w:szCs w:val="24"/>
          <w:lang w:eastAsia="id-ID"/>
        </w:rPr>
        <w:t xml:space="preserve">Nursing Department, </w:t>
      </w:r>
      <w:proofErr w:type="spellStart"/>
      <w:r w:rsidRPr="0073697F">
        <w:rPr>
          <w:rFonts w:ascii="Times New Roman" w:hAnsi="Times New Roman" w:cs="Times New Roman"/>
          <w:sz w:val="24"/>
          <w:szCs w:val="24"/>
          <w:shd w:val="clear" w:color="auto" w:fill="FFFFFF"/>
        </w:rPr>
        <w:t>Pelamonia</w:t>
      </w:r>
      <w:proofErr w:type="spellEnd"/>
      <w:r w:rsidRPr="0073697F">
        <w:rPr>
          <w:rFonts w:ascii="Times New Roman" w:hAnsi="Times New Roman" w:cs="Times New Roman"/>
          <w:sz w:val="24"/>
          <w:szCs w:val="24"/>
          <w:shd w:val="clear" w:color="auto" w:fill="FFFFFF"/>
        </w:rPr>
        <w:t xml:space="preserve"> Health Sciences Institute, Makassar Indonesia</w:t>
      </w:r>
    </w:p>
    <w:p w14:paraId="74B4F3AA" w14:textId="77777777" w:rsidR="0073697F" w:rsidRPr="0073697F" w:rsidRDefault="0073697F" w:rsidP="0073697F">
      <w:pPr>
        <w:autoSpaceDE w:val="0"/>
        <w:autoSpaceDN w:val="0"/>
        <w:adjustRightInd w:val="0"/>
        <w:spacing w:after="0"/>
        <w:jc w:val="center"/>
        <w:rPr>
          <w:rFonts w:ascii="Times New Roman" w:eastAsia="Times New Roman" w:hAnsi="Times New Roman" w:cs="Times New Roman"/>
          <w:sz w:val="24"/>
          <w:szCs w:val="24"/>
          <w:lang w:eastAsia="id-ID"/>
        </w:rPr>
      </w:pPr>
      <w:r w:rsidRPr="0073697F">
        <w:rPr>
          <w:rFonts w:ascii="Times New Roman" w:eastAsia="Times New Roman" w:hAnsi="Times New Roman" w:cs="Times New Roman"/>
          <w:sz w:val="24"/>
          <w:szCs w:val="24"/>
          <w:vertAlign w:val="superscript"/>
          <w:lang w:eastAsia="id-ID"/>
        </w:rPr>
        <w:t>11</w:t>
      </w:r>
      <w:r w:rsidRPr="0073697F">
        <w:rPr>
          <w:rFonts w:ascii="Times New Roman" w:eastAsia="Times New Roman" w:hAnsi="Times New Roman" w:cs="Times New Roman"/>
          <w:sz w:val="24"/>
          <w:szCs w:val="24"/>
          <w:lang w:eastAsia="id-ID"/>
        </w:rPr>
        <w:t xml:space="preserve">Nursing Department, </w:t>
      </w:r>
      <w:r w:rsidRPr="0073697F">
        <w:rPr>
          <w:rFonts w:ascii="Times New Roman" w:hAnsi="Times New Roman" w:cs="Times New Roman"/>
          <w:sz w:val="24"/>
          <w:szCs w:val="24"/>
          <w:shd w:val="clear" w:color="auto" w:fill="FFFFFF"/>
        </w:rPr>
        <w:t xml:space="preserve">High School of Health Science </w:t>
      </w:r>
      <w:proofErr w:type="spellStart"/>
      <w:r w:rsidRPr="0073697F">
        <w:rPr>
          <w:rFonts w:ascii="Times New Roman" w:hAnsi="Times New Roman" w:cs="Times New Roman"/>
          <w:sz w:val="24"/>
          <w:szCs w:val="24"/>
          <w:shd w:val="clear" w:color="auto" w:fill="FFFFFF"/>
        </w:rPr>
        <w:t>Pasapua</w:t>
      </w:r>
      <w:proofErr w:type="spellEnd"/>
      <w:r w:rsidRPr="0073697F">
        <w:rPr>
          <w:rFonts w:ascii="Times New Roman" w:hAnsi="Times New Roman" w:cs="Times New Roman"/>
          <w:sz w:val="24"/>
          <w:szCs w:val="24"/>
          <w:shd w:val="clear" w:color="auto" w:fill="FFFFFF"/>
        </w:rPr>
        <w:t xml:space="preserve"> Ambon, Ambon, Indonesia</w:t>
      </w:r>
    </w:p>
    <w:p w14:paraId="344AF2BC" w14:textId="77777777" w:rsidR="0073697F" w:rsidRPr="0073697F" w:rsidRDefault="0073697F" w:rsidP="0073697F">
      <w:pPr>
        <w:pStyle w:val="NormalWeb"/>
        <w:spacing w:before="0" w:beforeAutospacing="0" w:after="0" w:afterAutospacing="0" w:line="276" w:lineRule="auto"/>
        <w:jc w:val="center"/>
      </w:pPr>
      <w:bookmarkStart w:id="0" w:name="_Hlk151529468"/>
      <w:r w:rsidRPr="0073697F">
        <w:t>*Corresponding author.</w:t>
      </w:r>
    </w:p>
    <w:p w14:paraId="3A4EF6F4" w14:textId="77777777" w:rsidR="0073697F" w:rsidRPr="0073697F" w:rsidRDefault="0073697F" w:rsidP="0073697F">
      <w:pPr>
        <w:pStyle w:val="NormalWeb"/>
        <w:spacing w:before="0" w:beforeAutospacing="0" w:after="0" w:afterAutospacing="0" w:line="276" w:lineRule="auto"/>
        <w:jc w:val="center"/>
        <w:rPr>
          <w:rStyle w:val="Hyperlink"/>
          <w:color w:val="auto"/>
          <w:lang w:val="en-US"/>
        </w:rPr>
      </w:pPr>
      <w:r w:rsidRPr="0073697F">
        <w:rPr>
          <w:i/>
        </w:rPr>
        <w:t>E-mail Address:</w:t>
      </w:r>
      <w:r w:rsidRPr="0073697F">
        <w:t xml:space="preserve"> </w:t>
      </w:r>
      <w:hyperlink r:id="rId8" w:history="1">
        <w:r w:rsidRPr="0073697F">
          <w:rPr>
            <w:rStyle w:val="Hyperlink"/>
            <w:color w:val="auto"/>
            <w:shd w:val="clear" w:color="auto" w:fill="FFFFFF"/>
          </w:rPr>
          <w:t>ariyantisaleh@unhas.ac.id</w:t>
        </w:r>
      </w:hyperlink>
      <w:r w:rsidRPr="0073697F">
        <w:rPr>
          <w:shd w:val="clear" w:color="auto" w:fill="FFFFFF"/>
          <w:lang w:val="en-US"/>
        </w:rPr>
        <w:t xml:space="preserve"> </w:t>
      </w:r>
    </w:p>
    <w:bookmarkEnd w:id="0"/>
    <w:p w14:paraId="624CC6BC" w14:textId="77777777" w:rsidR="0073697F" w:rsidRPr="0073697F" w:rsidRDefault="0073697F" w:rsidP="0073697F">
      <w:pPr>
        <w:autoSpaceDE w:val="0"/>
        <w:autoSpaceDN w:val="0"/>
        <w:adjustRightInd w:val="0"/>
        <w:spacing w:after="0"/>
        <w:jc w:val="both"/>
        <w:rPr>
          <w:rFonts w:ascii="Times New Roman" w:eastAsia="Times New Roman" w:hAnsi="Times New Roman" w:cs="Times New Roman"/>
          <w:b/>
          <w:i/>
          <w:sz w:val="24"/>
          <w:szCs w:val="24"/>
          <w:lang w:eastAsia="id-ID"/>
        </w:rPr>
      </w:pPr>
      <w:r w:rsidRPr="0073697F">
        <w:rPr>
          <w:rFonts w:ascii="Times New Roman" w:eastAsia="Times New Roman" w:hAnsi="Times New Roman" w:cs="Times New Roman"/>
          <w:b/>
          <w:i/>
          <w:sz w:val="24"/>
          <w:szCs w:val="24"/>
          <w:lang w:eastAsia="id-ID"/>
        </w:rPr>
        <w:t>Abstract</w:t>
      </w:r>
    </w:p>
    <w:p w14:paraId="367115DB" w14:textId="77777777" w:rsidR="0073697F" w:rsidRPr="0073697F" w:rsidRDefault="0073697F" w:rsidP="0073697F">
      <w:pPr>
        <w:autoSpaceDE w:val="0"/>
        <w:autoSpaceDN w:val="0"/>
        <w:adjustRightInd w:val="0"/>
        <w:spacing w:after="0"/>
        <w:jc w:val="both"/>
        <w:rPr>
          <w:rFonts w:ascii="Times New Roman" w:hAnsi="Times New Roman" w:cs="Times New Roman"/>
          <w:sz w:val="24"/>
          <w:szCs w:val="24"/>
        </w:rPr>
      </w:pPr>
      <w:r w:rsidRPr="0073697F">
        <w:rPr>
          <w:rFonts w:ascii="Times New Roman" w:eastAsia="Times New Roman" w:hAnsi="Times New Roman" w:cs="Times New Roman"/>
          <w:b/>
          <w:i/>
          <w:sz w:val="24"/>
          <w:szCs w:val="24"/>
          <w:lang w:eastAsia="id-ID"/>
        </w:rPr>
        <w:t xml:space="preserve">Background: </w:t>
      </w:r>
      <w:r w:rsidRPr="0073697F">
        <w:rPr>
          <w:rFonts w:ascii="Times New Roman" w:eastAsia="Times New Roman" w:hAnsi="Times New Roman" w:cs="Times New Roman"/>
          <w:sz w:val="24"/>
          <w:szCs w:val="24"/>
          <w:lang w:eastAsia="id-ID"/>
        </w:rPr>
        <w:t>The high prevalence of infection reaches 7.1% in European countries, 4.5% in the US, and ranges from 3.5% to 12% in other developed countries. The discovery of VDR has become one of the solutions in reducing the risk of infection, where VDR acts as a transcription factor by modulating gene expression that triggers the immune response to the infection.</w:t>
      </w:r>
    </w:p>
    <w:p w14:paraId="2B603A31" w14:textId="77777777" w:rsidR="0073697F" w:rsidRPr="0073697F" w:rsidRDefault="0073697F" w:rsidP="0073697F">
      <w:pPr>
        <w:tabs>
          <w:tab w:val="left" w:pos="3150"/>
        </w:tabs>
        <w:spacing w:after="0"/>
        <w:jc w:val="both"/>
        <w:rPr>
          <w:rFonts w:ascii="Times New Roman" w:hAnsi="Times New Roman" w:cs="Times New Roman"/>
          <w:bCs/>
          <w:iCs/>
          <w:sz w:val="24"/>
          <w:szCs w:val="24"/>
        </w:rPr>
      </w:pPr>
      <w:r w:rsidRPr="0073697F">
        <w:rPr>
          <w:rFonts w:ascii="Times New Roman" w:hAnsi="Times New Roman" w:cs="Times New Roman"/>
          <w:b/>
          <w:i/>
          <w:sz w:val="24"/>
          <w:szCs w:val="24"/>
        </w:rPr>
        <w:t xml:space="preserve">Objectives: </w:t>
      </w:r>
      <w:r w:rsidRPr="0073697F">
        <w:rPr>
          <w:rFonts w:ascii="Times New Roman" w:hAnsi="Times New Roman" w:cs="Times New Roman"/>
          <w:bCs/>
          <w:iCs/>
          <w:sz w:val="24"/>
          <w:szCs w:val="24"/>
        </w:rPr>
        <w:t>This study aims to systematically evaluate and describe the role of VDR in reducing the risk of infection to improve the quality of nursing services.</w:t>
      </w:r>
    </w:p>
    <w:p w14:paraId="4E1B5387" w14:textId="77777777" w:rsidR="0073697F" w:rsidRPr="0073697F" w:rsidRDefault="0073697F" w:rsidP="0073697F">
      <w:pPr>
        <w:tabs>
          <w:tab w:val="left" w:pos="3150"/>
        </w:tabs>
        <w:spacing w:after="0"/>
        <w:jc w:val="both"/>
        <w:rPr>
          <w:rFonts w:ascii="Times New Roman" w:hAnsi="Times New Roman" w:cs="Times New Roman"/>
          <w:b/>
          <w:i/>
          <w:sz w:val="24"/>
          <w:szCs w:val="24"/>
        </w:rPr>
      </w:pPr>
      <w:r w:rsidRPr="0073697F">
        <w:rPr>
          <w:rFonts w:ascii="Times New Roman" w:hAnsi="Times New Roman" w:cs="Times New Roman"/>
          <w:b/>
          <w:i/>
          <w:sz w:val="24"/>
          <w:szCs w:val="24"/>
        </w:rPr>
        <w:t xml:space="preserve">Methods: </w:t>
      </w:r>
      <w:r w:rsidRPr="0073697F">
        <w:rPr>
          <w:rFonts w:ascii="Times New Roman" w:hAnsi="Times New Roman" w:cs="Times New Roman"/>
          <w:bCs/>
          <w:iCs/>
          <w:sz w:val="24"/>
          <w:szCs w:val="24"/>
        </w:rPr>
        <w:t>A systematic literature search was conducted on 5 databases, namely Google Scholar, PubMed, ProQuest, Sage, and ScienceDirect for articles published in the last 5 years in English, related to the role of VDR in reducing infections in nursing.</w:t>
      </w:r>
    </w:p>
    <w:p w14:paraId="4DC3494E" w14:textId="77777777" w:rsidR="0073697F" w:rsidRPr="0073697F" w:rsidRDefault="0073697F" w:rsidP="0073697F">
      <w:pPr>
        <w:tabs>
          <w:tab w:val="left" w:pos="3150"/>
        </w:tabs>
        <w:spacing w:after="0"/>
        <w:jc w:val="both"/>
        <w:rPr>
          <w:rFonts w:ascii="Times New Roman" w:hAnsi="Times New Roman" w:cs="Times New Roman"/>
          <w:b/>
          <w:i/>
          <w:sz w:val="24"/>
          <w:szCs w:val="24"/>
        </w:rPr>
      </w:pPr>
      <w:r w:rsidRPr="0073697F">
        <w:rPr>
          <w:rFonts w:ascii="Times New Roman" w:hAnsi="Times New Roman" w:cs="Times New Roman"/>
          <w:b/>
          <w:i/>
          <w:sz w:val="24"/>
          <w:szCs w:val="24"/>
        </w:rPr>
        <w:t xml:space="preserve">Results: </w:t>
      </w:r>
      <w:r w:rsidRPr="0073697F">
        <w:rPr>
          <w:rFonts w:ascii="Times New Roman" w:hAnsi="Times New Roman" w:cs="Times New Roman"/>
          <w:bCs/>
          <w:iCs/>
          <w:sz w:val="24"/>
          <w:szCs w:val="24"/>
        </w:rPr>
        <w:t xml:space="preserve">Based on the analysis of 10 articles, VDR plays a role in inhibiting cancer cell proliferation, killing bacteria in typhoid fever, playing a protective role against bacterial challenges, regulating intestinal homeostasis by preventing the invasion of pathogenic bacteria, </w:t>
      </w:r>
      <w:r w:rsidRPr="0073697F">
        <w:rPr>
          <w:rFonts w:ascii="Times New Roman" w:hAnsi="Times New Roman" w:cs="Times New Roman"/>
          <w:bCs/>
          <w:iCs/>
          <w:sz w:val="24"/>
          <w:szCs w:val="24"/>
        </w:rPr>
        <w:lastRenderedPageBreak/>
        <w:t>acting as a potent immunomodulator and antimicrobial agent, mediating protection against infections by supporting antiviral responses, acting as an anti-inflammatory, antiproliferative, and antitumorigenic agent, and alleviating intestinal fibrosis by inhibiting EMT (Epithelial-Mesenchymal Transition).</w:t>
      </w:r>
    </w:p>
    <w:p w14:paraId="4A98F8AC" w14:textId="77777777" w:rsidR="0073697F" w:rsidRPr="0073697F" w:rsidRDefault="0073697F" w:rsidP="0073697F">
      <w:pPr>
        <w:tabs>
          <w:tab w:val="left" w:pos="3150"/>
        </w:tabs>
        <w:spacing w:after="0"/>
        <w:jc w:val="both"/>
        <w:rPr>
          <w:rFonts w:ascii="Times New Roman" w:hAnsi="Times New Roman" w:cs="Times New Roman"/>
          <w:bCs/>
          <w:iCs/>
          <w:sz w:val="24"/>
          <w:szCs w:val="24"/>
        </w:rPr>
      </w:pPr>
      <w:r w:rsidRPr="0073697F">
        <w:rPr>
          <w:rFonts w:ascii="Times New Roman" w:hAnsi="Times New Roman" w:cs="Times New Roman"/>
          <w:b/>
          <w:i/>
          <w:sz w:val="24"/>
          <w:szCs w:val="24"/>
        </w:rPr>
        <w:t xml:space="preserve">Conclusion: </w:t>
      </w:r>
      <w:r w:rsidRPr="0073697F">
        <w:rPr>
          <w:rFonts w:ascii="Times New Roman" w:hAnsi="Times New Roman" w:cs="Times New Roman"/>
          <w:bCs/>
          <w:iCs/>
          <w:sz w:val="24"/>
          <w:szCs w:val="24"/>
        </w:rPr>
        <w:t>VDR reduces the risk of infection by killing bacteria and viruses, especially in the intestine, controlling gastrointestinal homeostasis, acting as an anti-inflammatory and antiproliferative agent, and playing a prognostic role.</w:t>
      </w:r>
    </w:p>
    <w:p w14:paraId="3F58BFB3" w14:textId="4CA79DEA" w:rsidR="0073697F" w:rsidRPr="0073697F" w:rsidRDefault="0073697F" w:rsidP="0073697F">
      <w:pPr>
        <w:tabs>
          <w:tab w:val="left" w:pos="3150"/>
        </w:tabs>
        <w:spacing w:after="0"/>
        <w:rPr>
          <w:rFonts w:ascii="Times New Roman" w:hAnsi="Times New Roman" w:cs="Times New Roman"/>
          <w:i/>
          <w:sz w:val="24"/>
          <w:szCs w:val="24"/>
        </w:rPr>
      </w:pPr>
      <w:proofErr w:type="gramStart"/>
      <w:r w:rsidRPr="0073697F">
        <w:rPr>
          <w:rFonts w:ascii="Times New Roman" w:hAnsi="Times New Roman" w:cs="Times New Roman"/>
          <w:b/>
          <w:bCs/>
          <w:i/>
          <w:sz w:val="24"/>
          <w:szCs w:val="24"/>
        </w:rPr>
        <w:t>Keywords :</w:t>
      </w:r>
      <w:r w:rsidRPr="0073697F">
        <w:rPr>
          <w:rFonts w:ascii="Times New Roman" w:hAnsi="Times New Roman" w:cs="Times New Roman"/>
          <w:i/>
          <w:sz w:val="24"/>
          <w:szCs w:val="24"/>
        </w:rPr>
        <w:t>VDR</w:t>
      </w:r>
      <w:proofErr w:type="gramEnd"/>
      <w:r w:rsidRPr="0073697F">
        <w:rPr>
          <w:rFonts w:ascii="Times New Roman" w:hAnsi="Times New Roman" w:cs="Times New Roman"/>
          <w:i/>
          <w:sz w:val="24"/>
          <w:szCs w:val="24"/>
        </w:rPr>
        <w:t>, Infection, Nursing</w:t>
      </w:r>
    </w:p>
    <w:p w14:paraId="556201C8" w14:textId="77777777" w:rsidR="0073697F" w:rsidRPr="0073697F" w:rsidRDefault="0073697F" w:rsidP="0073697F">
      <w:pPr>
        <w:tabs>
          <w:tab w:val="left" w:pos="3150"/>
        </w:tabs>
        <w:spacing w:after="0"/>
        <w:rPr>
          <w:rFonts w:ascii="Times New Roman" w:hAnsi="Times New Roman" w:cs="Times New Roman"/>
          <w:i/>
          <w:sz w:val="24"/>
          <w:szCs w:val="24"/>
        </w:rPr>
      </w:pPr>
    </w:p>
    <w:p w14:paraId="4ABF1AF5" w14:textId="77777777" w:rsidR="0073697F" w:rsidRPr="0073697F" w:rsidRDefault="0073697F" w:rsidP="0073697F">
      <w:pPr>
        <w:pStyle w:val="ListParagraph"/>
        <w:numPr>
          <w:ilvl w:val="0"/>
          <w:numId w:val="7"/>
        </w:numPr>
        <w:jc w:val="both"/>
        <w:rPr>
          <w:rFonts w:ascii="Times New Roman" w:hAnsi="Times New Roman" w:cs="Times New Roman"/>
          <w:b/>
          <w:sz w:val="24"/>
          <w:szCs w:val="24"/>
        </w:rPr>
      </w:pPr>
      <w:r w:rsidRPr="0073697F">
        <w:rPr>
          <w:rFonts w:ascii="Times New Roman" w:hAnsi="Times New Roman" w:cs="Times New Roman"/>
          <w:b/>
          <w:sz w:val="24"/>
          <w:szCs w:val="24"/>
        </w:rPr>
        <w:t>Introduction</w:t>
      </w:r>
    </w:p>
    <w:p w14:paraId="2079F62F"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Infectious diseases are still a health problem that causes morbidity and mortality that attract attention in both developing and developed countries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{"citationItems":[{"id":"ITEM-1","itemData":{"author":[{"dropping-particle":"","family":"Kemenkes RI","given":"","non-dropping-particle":"","parse-names":false,"suffix":""}],"id":"ITEM-1","issued":{"date-parts":[["2022"]]},"title":"Cegah Penyebaran Penyakit Infeksi, SDM Kesehatan di Pintu Masuk Negara Diperkuat","type":"report"},"uris":["http://www.mendeley.com/documents/?uuid=713140e4-1b28-405b-a9f2-80abbd37ca9c"]}],"mendeley":{"formattedCitation":"[1]","plainTextFormattedCitation":"[1]","previouslyFormattedCitation":"[1]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addition to causing large numbers of deaths and creating socioeconomic vulnerabilities, high infections will also cause a surge in health worker mobilization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{"citationItems":[{"id":"ITEM-1","itemData":{"DOI":"10.3390/ijms20010145","ISSN":"14220067","PMID":"30609781","abstract":"Vitamin D is currently one of the hottest topics in research and clinics, as well as in everyday life. Over the past decades, scientists gathered overwhelming evidence indicating that the observed global vitamin D deficiency not only has a negative impact on human skeletal system, but also facilitates development and progression of multiple disease of civilization, including cardiovascular diseases, diabetes, autoimmune disease, and cancer. This Special Issue, entitled “Vitamin D and Human Health”, summarizes recent advances in our understanding of pleiotropic activity of vitamin D in the form of eight comprehensive reviews. Furthermore, eight research papers provide new insight into vitamin D research and highlight new directions.","author":[{"dropping-particle":"","family":"Zmijewski","given":"Michal A.","non-dropping-particle":"","parse-names":false,"suffix":""}],"container-title":"International Journal of Molecular Sciences","id":"ITEM-1","issue":"1","issued":{"date-parts":[["2019"]]},"title":"Vitamin D and human health","type":"article-journal","volume":"20"},"uris":["http://www.mendeley.com/documents/?uuid=831f393b-37e1-4129-a87a-bf8b298d82ca"]}],"mendeley":{"formattedCitation":"[2]","plainTextFormattedCitation":"[2]","previouslyFormattedCitation":"[2]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01E62000"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 Currently, the prevalence of infectious diseases reported by the </w:t>
      </w:r>
      <w:r w:rsidRPr="0073697F">
        <w:rPr>
          <w:rFonts w:ascii="Times New Roman" w:hAnsi="Times New Roman" w:cs="Times New Roman"/>
          <w:i/>
          <w:iCs/>
          <w:sz w:val="24"/>
          <w:szCs w:val="24"/>
        </w:rPr>
        <w:t>European Centre for Disease Prevention and Control</w:t>
      </w:r>
      <w:r w:rsidRPr="0073697F">
        <w:rPr>
          <w:rFonts w:ascii="Times New Roman" w:hAnsi="Times New Roman" w:cs="Times New Roman"/>
          <w:sz w:val="24"/>
          <w:szCs w:val="24"/>
        </w:rPr>
        <w:t xml:space="preserve"> (ECDC) in 2022 is 7.1% in European countries, 4.5% in the United States (US) and ranges from 3.5% to 12% in other developed countries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{"citationItems":[{"id":"ITEM-1","itemData":{"author":[{"dropping-particle":"","family":"ECDC","given":"","non-dropping-particle":"","parse-names":false,"suffix":""}],"id":"ITEM-1","issued":{"date-parts":[["2022"]]},"title":"Point prevalence survey of healthcare-associated infections and antimicrobial use in European acute care hospitals","type":"report"},"uris":["http://www.mendeley.com/documents/?uuid=6c01c0c8-4151-4a73-99eb-67e6d0956ac4"]}],"mendeley":{"formattedCitation":"[3]","plainTextFormattedCitation":"[3]","previouslyFormattedCitation":"[3]"},"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[3]</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The high rate of infection affects health workers, especially nurses as 24-hour standby personnel who are at the patient's side to provide nursing care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{"citationItems":[{"id":"ITEM-1","itemData":{"author":[{"dropping-particle":"","family":"Sukkird","given":"Vatcharapong","non-dropping-particle":"","parse-names":false,"suffix":""}],"id":"ITEM-1","issued":{"date-parts":[["2019"]]},"title":"Multi-Objective Emergency Nurse Scheduling With Combined Hospital Policies and Individual Preference By a Disserttion Submitted in Partialfulfillment of the Requirements for the Degree of Doctor of Multi-Objective Emergency Nursescheduling With Combined H","type":"article-journal"},"uris":["http://www.mendeley.com/documents/?uuid=94a6af12-ba70-4491-80fe-4e059e4288fe"]}],"mendeley":{"formattedCitation":"[4]","plainTextFormattedCitation":"[4]","previouslyFormattedCitation":"[4]"},"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[4]</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Nurses will experience extreme pressures, suffer from psychological disorders and have a higher risk of infection and will even experience stigmatization from society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{"citationItems":[{"id":"ITEM-1","itemData":{"DOI":"10.37287/jppp.v3i2.429","ISSN":"2714-9757","abstract":"Akibat dari wabah Covid-19 menyebabkan munculnya satu fenomena besar yaitu asosiatif negatif atau stigma terhadap orang yang terinfeksi atau mengalami gejala dari penyakit tersebut. Salah satu penyebab timbulnya diskriminasi atau stigma sosial terhadap orang yang terinfeksi virus ini menimbulkan rasa takut terdapat sesuatu yang belum diketahui. Para petugas kesehatan, terkhusus yang berada di garda terdepan, mengalami tekanan-tekanan ekstrem, terkontaminasi gangguan psikologis yaitu stres serta ,memiliki resiko lebih tinggi untuk terinfeksi, alat pelindung diri yang kurang memadai, jam kerja yang  berlebihan, bahkan akan mengalami stigma dari masyarakat. Desain penelitian ini adalah deskriptif kuantitatif dengan wawasan deskriptif. Pengambilan sampel dilakukan dengan non probability sampling dengan teknik random sampling yaitu 75 perawat Rumah Sakit Advent Bandar Lampung yang menjadi subjek atau responden. Instrumen peneltiian menggunakan kuesioner Kesehatan Mental Pada Pandemi Covid–19 ( The Covid -19 Pandemic Mental Health Questionnaire/ CoPaQ) dengan menggunakan google form. CoPaQ telah diuji validitas dengan expert validity, dengan hasil reabilitas cronbach α= 0,88. Hasil penelitian menunjukkan bahwa tingkat Stres pada perawat di Rumah Sakit Advent Bandar Lampung berada pada kategori tinggi.","author":[{"dropping-particle":"","family":"Pasaribu","given":"Pisga Dwi Lestari Br","non-dropping-particle":"","parse-names":false,"suffix":""},{"dropping-particle":"","family":"Ricky","given":"Denny Paul","non-dropping-particle":"","parse-names":false,"suffix":""}],"container-title":"Jurnal Penelitian Perawat Profesional","id":"ITEM-1","issue":"2","issued":{"date-parts":[["2021"]]},"page":"287-294","title":"Tingkat Stres Perawat Terkait Isu Covid-19","type":"article-journal","volume":"3"},"uris":["http://www.mendeley.com/documents/?uuid=c305fc6c-8dc1-43d4-a8d6-50702c14617f"]}],"mendeley":{"formattedCitation":"[5]","plainTextFormattedCitation":"[5]","previouslyFormattedCitation":"[5]"},"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[5]</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p>
    <w:p w14:paraId="746658F1"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Several efforts have been made to reduce infection rates such as training to all health workers according to their needs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{"citationItems":[{"id":"ITEM-1","itemData":{"author":[{"dropping-particle":"","family":"Persi","given":"","non-dropping-particle":"","parse-names":false,"suffix":""}],"id":"ITEM-1","issued":{"date-parts":[["2022"]]},"title":"Pelatihan Tingkat Dasar Pencegahan dan Pengendalian Infeksi","type":"report"},"uris":["http://www.mendeley.com/documents/?uuid=bc0f0e13-ec4c-4812-96bf-bd1354497549"]}],"mendeley":{"formattedCitation":"[6]","plainTextFormattedCitation":"[6]","previouslyFormattedCitation":"[6]"},"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[6]</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addition, nurses also make independent efforts using adequate personal protective equipment to protect patients from various microorganisms and themselves during their duties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{"citationItems":[{"id":"ITEM-1","itemData":{"DOI":"10.54259/sehatrakyat.v1i2.919","author":[{"dropping-particle":"","family":"Dewi","given":"Fitriana","non-dropping-particle":"","parse-names":false,"suffix":""}],"container-title":"SEHATRAKYAT (Jurnal Kesehatan Masyarakat)","id":"ITEM-1","issue":"2","issued":{"date-parts":[["2022"]]},"page":"116-124","title":"Nurse Compliance in Using Personal Protective Equipment (PPE) to Break the Chain of Transmission of Covid – 19 at RSUD Cut Meutia Aceh Utara","type":"article-journal","volume":"1"},"uris":["http://www.mendeley.com/documents/?uuid=cca8d08e-e522-4882-82f1-b34ddd7fabfa"]}],"mendeley":{"formattedCitation":"[7]","plainTextFormattedCitation":"[7]","previouslyFormattedCitation":"[7]"},"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[7]</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However, this is not enough to reduce the risk of infection. It requires a component that supports immune function in warding off viruses and bacteria that cause infection.</w:t>
      </w:r>
    </w:p>
    <w:p w14:paraId="156F178E"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In recent years, vitamin D has become a hot topic in the world of health and a material for research, especially with the discovery of VDR. It is known that VDR can lower the risk of infection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{"citationItems":[{"id":"ITEM-1","itemData":{"DOI":"10.1002/rmv.2032","author":[{"dropping-particle":"","family":"Rad","given":"Majid Teymoori","non-dropping-particle":"","parse-names":false,"suffix":""}],"id":"ITEM-1","issue":"November 2018","issued":{"date-parts":[["2019"]]},"page":"1-16","title":"The interplay between vitamin D and viral infections","type":"article-journal"},"uris":["http://www.mendeley.com/documents/?uuid=1535c39c-2cfc-4590-a1db-fefa5332df43"]}],"mendeley":{"formattedCitation":"[8]","plainTextFormattedCitation":"[8]","previouslyFormattedCitation":"[8]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by regulating several genes such as </w:t>
      </w:r>
      <w:proofErr w:type="spellStart"/>
      <w:r w:rsidRPr="0073697F">
        <w:rPr>
          <w:rFonts w:ascii="Times New Roman" w:hAnsi="Times New Roman" w:cs="Times New Roman"/>
          <w:sz w:val="24"/>
          <w:szCs w:val="24"/>
        </w:rPr>
        <w:t>cathelicidin</w:t>
      </w:r>
      <w:proofErr w:type="spellEnd"/>
      <w:r w:rsidRPr="0073697F">
        <w:rPr>
          <w:rFonts w:ascii="Times New Roman" w:hAnsi="Times New Roman" w:cs="Times New Roman"/>
          <w:sz w:val="24"/>
          <w:szCs w:val="24"/>
        </w:rPr>
        <w:t xml:space="preserve"> which plays a role in the activation of macrophages, neutrophils, dendritic cells, and beta defensin which can directly break down the viral membrane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{"citationItems":[{"id":"ITEM-1","itemData":{"DOI":"10.29313/bcsms.v2i1.500","abstract":"Abstract. Obesity is one of the biggest global health challenges that is growing rapidly. According to WHO, obesity is abnormal or excess fat accumulation and has the potential to interfere with health. BMI in obesity 30 kg/m2. Meanwhile, according to the Asia Pacific standard for obesity is a BMI of 25 kg/m2. The causes of obesity are very complex, including genetic factors, environmental factors in terms of diet and decreased physical activity. Various efforts that can be done in tackling obesity are being healthier, physical activity such as exercise, pharmacological therapy, namely offering anti-obesity drugs and giving vitamin D supplements. Obese people generally have lower levels of vitamin D than those who are not obese. Giving vitamin D to obese patients is thought to be able to lose weight and return the body's vitamin D levels to normal. Therefore a literature review was conducted regarding the administration of vitamin D in adult obese patients. The type of data used is secondary data. The method of data collection is literature study. From this literature review study, it was found that the administration of vitamin D can lose weight in obese adults through a direct mechanism, directly through the role of Vitamin D Dependent Receptor (VDDR) and indirectly through the role of parathyroid hormone. Abstrak. Obesitas merupakan salah satu tantangan terbesar kesehatan global yang berkembang pesat saat ini. Obesitas adalah akumulasi lemak yang tidak normal atau berlebih serta berpotensi menganggu kesehatan. IMT pada obesitas ≥30 kg/m2. Sedangkan menurut Asia Pasifik standard untuk obesitas adalah IMT ≥25 kg/m2. Penyebab obesitas sangat kompleks yaitu mencakup faktor genetik, faktor lingkungan dari segi pola makan dan penurunan aktivitas fisik. Berbagai upaya yang dapat dilakukan dalam menanggulangi obesitas adalah modifikasi makanan menjadi lebih sehat, aktivitas fisik seperti olahraga, terapi farmakologi yaitu pemberian obat anti obesitas dan pemberian suplemen vitamin D. Penderita obesitas umumnya memiliki kadar vitamin D yang lebih rendah dibandingkan dengan yang tidak obesitas. Pemberian vitamin D pada penderita obesitas diperkirakan dapat menurunkan berat badan dan mengembalikan kadar vitamin D tubuh menjadi normal. Oleh karena itu, dilakukan penelitian dengan cara literature review mengenai pemberian vitamin D pada penderita obesitas dewasa. Jenis data yang digunakan adalah data sekunder. Metode pengumpulan data adalah studi pustaka. Dari st…","author":[{"dropping-particle":"","family":"Rachmawati","given":"Widia","non-dropping-particle":"","parse-names":false,"suffix":""},{"dropping-particle":"","family":"Akbar","given":"Ieva Baniasih","non-dropping-particle":"","parse-names":false,"suffix":""},{"dropping-particle":"","family":"Susanti","given":"Yuli","non-dropping-particle":"","parse-names":false,"suffix":""}],"container-title":"Bandung Conference Series: Medical Science","id":"ITEM-1","issue":"1","issued":{"date-parts":[["2022"]]},"page":"113-120","title":"Role of Vitamin D in Adult Obese: Literature Review","type":"article-journal","volume":"2"},"uris":["http://www.mendeley.com/documents/?uuid=0a520dad-3e44-474b-ab63-d615bb9e9267"]}],"mendeley":{"formattedCitation":"[9]","plainTextFormattedCitation":"[9]","previouslyFormattedCitation":"[9]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61E772AF"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The VDR acts as a transcription factor that modulates the expression of genes that trigger an immune response to viral infections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{"citationItems":[{"id":"ITEM-1","itemData":{"DOI":"10.1016/j.gene.2018.08.017","ISSN":"18790038","PMID":"30092343","abstract":"Introduction: Vitamin-D plays a role regulating the immune response against to viral infection. In this sense, vitamin-D deficiency may confer increased susceptibility to enveloped virus infection such as HIV, Hepatitis, Dengue and Respiratory Syncytial virus infection, among others. Vitamin D activity is mediated by its receptor (VDR), which acts as a transcription factor modulating the expression of genes triggering the response against viruses. To date, six major VDR polymorphisms (Cdx, A1012G, FokI, BsmI, ApaI and TaqI) have been studied in the context of viral infection susceptibility. Reported studies show controversial results probably due to statistical lack of power and population genetic differences. Aims: To do a systematic review of the published data and to perform a meta-analysis examining the role of six VDR polymorphisms on infection susceptibility to enveloped virus. Results: From all markers and virus considered an association of FokI polymorphism with RSV infection emerges as significant. The worldwide distribution of risk T-allele reveals a lower prevalence in African populations that runs parallel with the relative lower incidence of RSV-associated severe ALRI in children &lt;1 year described in African samples. Conclusion: The results disclose FokI polymorphism as a relevant variant capturing the association of VDR polymorphisms with viral infection.","author":[{"dropping-particle":"","family":"Laplana","given":"Marina","non-dropping-particle":"","parse-names":false,"suffix":""},{"dropping-particle":"","family":"Royo","given":"José Luis","non-dropping-particle":"","parse-names":false,"suffix":""},{"dropping-particle":"","family":"Fibla","given":"Joan","non-dropping-particle":"","parse-names":false,"suffix":""}],"container-title":"Gene","id":"ITEM-1","issued":{"date-parts":[["2018"]]},"page":"384-394","publisher":"Elsevier B.V","title":"Vitamin D Receptor polymorphisms and risk of enveloped virus infection: A meta-analysis","type":"article-journal","volume":"678"},"uris":["http://www.mendeley.com/documents/?uuid=b9f5b7a5-9e50-49ee-bb41-ec53a55b6c55"]}],"mendeley":{"formattedCitation":"[10]","plainTextFormattedCitation":"[10]","previouslyFormattedCitation":"[10]"},"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[10]</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addition, VD/VDR can increase innate immunity and antimicrobial expression which is key to the antiviral process. VDR is also able to increase the production of anti-inflammatory cytokines and avoid excessive inflammatory responses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{"citationItems":[{"id":"ITEM-1","itemData":{"DOI":"10.11817/j.issn.1672-7347.2022.210556","ISBN":"0000000306980","author":[{"dropping-particle":"","family":"Yu","given":"H O U","non-dropping-particle":"","parse-names":false,"suffix":""},{"dropping-particle":"","family":"Jinghui","given":"L I","non-dropping-particle":"","parse-names":false,"suffix":""},{"dropping-particle":"","family":"Chao","given":"Deng","non-dropping-particle":"","parse-names":false,"suffix":""}],"id":"ITEM-1","issue":"6","issued":{"date-parts":[["2022"]]},"page":"0-3","title":"Vitamin D / vitamin D receptor , autophagy , and infection","type":"article-journal","volume":"47"},"uris":["http://www.mendeley.com/documents/?uuid=cf8556b2-1558-4cdf-a86d-58b2568acfd4"]}],"mendeley":{"formattedCitation":"[11]","plainTextFormattedCitation":"[11]","previouslyFormattedCitation":"[11]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p>
    <w:p w14:paraId="07278416" w14:textId="77777777" w:rsidR="0073697F" w:rsidRPr="0073697F" w:rsidRDefault="0073697F" w:rsidP="0073697F">
      <w:pPr>
        <w:pStyle w:val="ListParagraph"/>
        <w:ind w:left="360" w:firstLine="774"/>
        <w:jc w:val="both"/>
        <w:rPr>
          <w:rFonts w:ascii="Times New Roman" w:hAnsi="Times New Roman" w:cs="Times New Roman"/>
          <w:sz w:val="24"/>
          <w:szCs w:val="24"/>
        </w:rPr>
      </w:pPr>
      <w:r w:rsidRPr="0073697F">
        <w:rPr>
          <w:rFonts w:ascii="Times New Roman" w:hAnsi="Times New Roman" w:cs="Times New Roman"/>
          <w:sz w:val="24"/>
          <w:szCs w:val="24"/>
        </w:rPr>
        <w:t xml:space="preserve">Currently, there is a lot of literature that reveals the role and benefits of VDR. However, there has been no article that summarizes the important role of VDR in lowering the risk of infection for improved nursing services. </w:t>
      </w:r>
      <w:r w:rsidRPr="0073697F">
        <w:rPr>
          <w:rFonts w:ascii="Times New Roman" w:hAnsi="Times New Roman" w:cs="Times New Roman"/>
          <w:i/>
          <w:iCs/>
          <w:sz w:val="24"/>
          <w:szCs w:val="24"/>
        </w:rPr>
        <w:t>The International Council of Nurses</w:t>
      </w:r>
      <w:r w:rsidRPr="0073697F">
        <w:rPr>
          <w:rFonts w:ascii="Times New Roman" w:hAnsi="Times New Roman" w:cs="Times New Roman"/>
          <w:sz w:val="24"/>
          <w:szCs w:val="24"/>
        </w:rPr>
        <w:t xml:space="preserve"> (2021) </w:t>
      </w:r>
      <w:r w:rsidRPr="0073697F">
        <w:rPr>
          <w:rFonts w:ascii="Times New Roman" w:hAnsi="Times New Roman" w:cs="Times New Roman"/>
          <w:sz w:val="24"/>
          <w:szCs w:val="24"/>
        </w:rPr>
        <w:lastRenderedPageBreak/>
        <w:t xml:space="preserve">states that one indicator of improving the quality of nursing services is a decrease in morbidity and death rates caused by infection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{"citationItems":[{"id":"ITEM-1","itemData":{"author":[{"dropping-particle":"","family":"The International Council of Nurses","given":"","non-dropping-particle":"","parse-names":false,"suffix":""}],"id":"ITEM-1","issued":{"date-parts":[["2021"]]},"title":"Nurses providing Infection, Prevention and Control during COVID-19","type":"report"},"uris":["http://www.mendeley.com/documents/?uuid=72ffcda3-f05e-42cf-8f7d-816afc965de8"]}],"mendeley":{"formattedCitation":"[12]","plainTextFormattedCitation":"[12]","previouslyFormattedCitation":"[12]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Based on this, the author intends to summarize the important role of VDR in reducing infection rates to improve nursing services.</w:t>
      </w:r>
    </w:p>
    <w:p w14:paraId="15FE175F" w14:textId="77777777" w:rsidR="0073697F" w:rsidRPr="0073697F" w:rsidRDefault="0073697F" w:rsidP="0073697F">
      <w:pPr>
        <w:pStyle w:val="ListParagraph"/>
        <w:ind w:left="360" w:firstLine="774"/>
        <w:jc w:val="both"/>
        <w:rPr>
          <w:rFonts w:ascii="Times New Roman" w:hAnsi="Times New Roman" w:cs="Times New Roman"/>
          <w:sz w:val="24"/>
          <w:szCs w:val="24"/>
        </w:rPr>
      </w:pPr>
    </w:p>
    <w:p w14:paraId="4FD360B7" w14:textId="77777777" w:rsidR="0073697F" w:rsidRPr="0073697F" w:rsidRDefault="0073697F" w:rsidP="0073697F">
      <w:pPr>
        <w:pStyle w:val="ListParagraph"/>
        <w:numPr>
          <w:ilvl w:val="0"/>
          <w:numId w:val="7"/>
        </w:numPr>
        <w:spacing w:after="0"/>
        <w:rPr>
          <w:rFonts w:ascii="Times New Roman" w:hAnsi="Times New Roman" w:cs="Times New Roman"/>
          <w:b/>
          <w:sz w:val="24"/>
          <w:szCs w:val="24"/>
          <w:shd w:val="clear" w:color="auto" w:fill="FFFFFF"/>
        </w:rPr>
      </w:pPr>
      <w:bookmarkStart w:id="1" w:name="_Toc107951285"/>
      <w:r w:rsidRPr="0073697F">
        <w:rPr>
          <w:rFonts w:ascii="Times New Roman" w:hAnsi="Times New Roman" w:cs="Times New Roman"/>
          <w:b/>
          <w:sz w:val="24"/>
          <w:szCs w:val="24"/>
          <w:shd w:val="clear" w:color="auto" w:fill="FFFFFF"/>
        </w:rPr>
        <w:t>Methods</w:t>
      </w:r>
    </w:p>
    <w:p w14:paraId="7B323813" w14:textId="77777777" w:rsidR="0073697F" w:rsidRPr="0073697F" w:rsidRDefault="0073697F" w:rsidP="0073697F">
      <w:pPr>
        <w:spacing w:after="0"/>
        <w:ind w:left="294" w:firstLine="840"/>
        <w:jc w:val="both"/>
        <w:rPr>
          <w:rFonts w:ascii="Times New Roman" w:hAnsi="Times New Roman" w:cs="Times New Roman"/>
          <w:sz w:val="24"/>
          <w:szCs w:val="24"/>
        </w:rPr>
      </w:pPr>
      <w:r w:rsidRPr="0073697F">
        <w:rPr>
          <w:rFonts w:ascii="Times New Roman" w:hAnsi="Times New Roman" w:cs="Times New Roman"/>
          <w:iCs/>
          <w:sz w:val="24"/>
          <w:szCs w:val="24"/>
        </w:rPr>
        <w:t>Systematic review, which is the method used in this article, is a scientifically rigorous methodological study in compiling empirical evidence and producing more accurate and reliable conclusions</w:t>
      </w:r>
      <w:r w:rsidRPr="0073697F">
        <w:rPr>
          <w:rFonts w:ascii="Times New Roman" w:hAnsi="Times New Roman" w:cs="Times New Roman"/>
          <w:sz w:val="24"/>
          <w:szCs w:val="24"/>
        </w:rPr>
        <w:t xml:space="preserv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{"citationItems":[{"id":"ITEM-1","itemData":{"DOI":"10.35808/ersj/1137","ISSN":"11082976","abstract":"This study aims to provide a complete reference and guidance for future research on the topic of altruism by exploring its challenges, outcomes, and practices. The systematic literature review is applied to integrate the study in an organized, transparent and reproducible form. It is known that the construct of altruism has been defined to be better in the context of both organizational behavior and organizational development. Research findings referring to altruism concepts and theories have been published by several authors which provides a reference for the development of altruism concepts and theories in the context of marketing communication. For now, the study shows that altruism emerges as a management paradigm that is significant and has various outcomes and implications for individual and organizational contexts.","author":[{"dropping-particle":"","family":"Yuniawan","given":"A.","non-dropping-particle":"","parse-names":false,"suffix":""},{"dropping-particle":"","family":"Udin","given":"U.","non-dropping-particle":"","parse-names":false,"suffix":""},{"dropping-particle":"","family":"Abdurrahman","given":"A.","non-dropping-particle":"","parse-names":false,"suffix":""},{"dropping-particle":"","family":"Puji Suci","given":"R.","non-dropping-particle":"","parse-names":false,"suffix":""}],"container-title":"European Research Studies Journal","id":"ITEM-1","issue":"4","issued":{"date-parts":[["2018"]]},"page":"493-501","title":"A systematic literature review of altruism: Challenges, outcomes and future research directions","type":"article-journal","volume":"21"},"uris":["http://www.mendeley.com/documents/?uuid=8561d596-7a0c-4b7b-b292-61e560aeb83d"]}],"mendeley":{"formattedCitation":"[13]","plainTextFormattedCitation":"[13]","previouslyFormattedCitation":"[13]"},"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[13]</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Systematic review search protocols are designed critically from scientific studies to obtain relevant results through searching, identifying, assessing and evaluating evidence-based studies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{"citationItems":[{"id":"ITEM-1","itemData":{"DOI":"10.1186/s12874-017-0468-4","ISSN":"14712288","PMID":"29316881","abstract":"Background: Systematic reviews have been considered as the pillar on which evidence-based healthcare rests. Systematic review methodology has evolved and been modified over the years to accommodate the range of questions that may arise in the health and medical sciences. This paper explores a concept still rarely considered by novice authors and in the literature: determining the type of systematic review to undertake based on a research question or priority. Results: Within the framework of the evidence-based healthcare paradigm, defining the question and type of systematic review to conduct is a pivotal first step that will guide the rest of the process and has the potential to impact on other aspects of the evidence-based healthcare cycle (evidence generation, transfer and implementation). It is something that novice reviewers (and others not familiar with the range of review types available) need to take account of but frequently overlook. Our aim is to provide a typology of review types and describe key elements that need to be addressed during question development for each type. Conclusions: In this paper a typology is proposed of various systematic review methodologies. The review types are defined and situated with regard to establishing corresponding questions and inclusion criteria. The ultimate objective is to provide clarified guidance for both novice and experienced reviewers and a unified typology with respect to review types.","author":[{"dropping-particle":"","family":"Munn","given":"Zachary","non-dropping-particle":"","parse-names":false,"suffix":""},{"dropping-particle":"","family":"Stern","given":"Cindy","non-dropping-particle":"","parse-names":false,"suffix":""},{"dropping-particle":"","family":"Aromataris","given":"Edoardo","non-dropping-particle":"","parse-names":false,"suffix":""},{"dropping-particle":"","family":"Lockwood","given":"Craig","non-dropping-particle":"","parse-names":false,"suffix":""},{"dropping-particle":"","family":"Jordan","given":"Zoe","non-dropping-particle":"","parse-names":false,"suffix":""}],"container-title":"BMC Medical Research Methodology","id":"ITEM-1","issue":"1","issued":{"date-parts":[["2018"]]},"page":"1-9","publisher":"BMC Medical Research Methodology","title":"What kind of systematic review should i conduct? A proposed typology and guidance for systematic reviewers in the medical and health sciences","type":"article-journal","volume":"18"},"uris":["http://www.mendeley.com/documents/?uuid=60dd6f65-8e2d-4c06-8c2b-c033a7c66c3b"]}],"mendeley":{"formattedCitation":"[14]","plainTextFormattedCitation":"[14]","previouslyFormattedCitation":"[14]"},"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[14]</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p>
    <w:p w14:paraId="509E2ACF" w14:textId="77777777" w:rsidR="0073697F" w:rsidRPr="0073697F" w:rsidRDefault="0073697F" w:rsidP="0073697F">
      <w:pPr>
        <w:spacing w:after="0"/>
        <w:ind w:left="294" w:firstLine="840"/>
        <w:jc w:val="both"/>
        <w:rPr>
          <w:rFonts w:ascii="Times New Roman" w:hAnsi="Times New Roman" w:cs="Times New Roman"/>
          <w:sz w:val="24"/>
          <w:szCs w:val="24"/>
        </w:rPr>
      </w:pPr>
      <w:r w:rsidRPr="0073697F">
        <w:rPr>
          <w:rFonts w:ascii="Times New Roman" w:hAnsi="Times New Roman" w:cs="Times New Roman"/>
          <w:sz w:val="24"/>
          <w:szCs w:val="24"/>
        </w:rPr>
        <w:t xml:space="preserve">The preparation for systematic review using Prisma Checklist 2020 guidelines contains a 27-item checklist and a four-phase flowchart that characterizes academics in publications to help making critical and comprehensive evaluation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{"citationItems":[{"id":"ITEM-1","itemData":{"DOI":"10.1016/j.ijsu.2021.105918","ISSN":"17439159","PMID":"33789825","abstract":"The Preferred Reporting Items for Systematic reviews and Meta-Analyses (PRISMA) statement, first published in 2009 [1], was developed in an attempt to increase the clarity, transparency, quality and value of these reports [2]. The 27-item checklist and four-phase flow diagram have become the hallmark of academic rigour in the publication of systematic reviews and meta-analyses, having been cited by over 60,000 papers [3]. These are frequently endorsed by journals in their ‘Instructions to Authors’ [4]. Developments in the methodology and terminology used when conducting systematic reviews [5], alongside the identification of limitations responsible for poor adherence, such as the use of ambiguous wording [6], have warranted an update to the PRISMA statement. The PRISMA 2020 statement, therefore, is intended to reflect this recent evolution in the identification, selection, appraisal and synthesis of research [7]. Here, we present an interpretive analysis of the updated statement, with a view towards encouraging its adoption by both journals and authors in the pursuit of advancing evidence-based medicine.","author":[{"dropping-particle":"","family":"Sohrabi","given":"Catrin","non-dropping-particle":"","parse-names":false,"suffix":""},{"dropping-particle":"","family":"Franchi","given":"Thomas","non-dropping-particle":"","parse-names":false,"suffix":""},{"dropping-particle":"","family":"Mathew","given":"Ginimol","non-dropping-particle":"","parse-names":false,"suffix":""},{"dropping-particle":"","family":"Kerwan","given":"Ahmed","non-dropping-particle":"","parse-names":false,"suffix":""},{"dropping-particle":"","family":"Nicola","given":"Maria","non-dropping-particle":"","parse-names":false,"suffix":""},{"dropping-particle":"","family":"Griffin","given":"Michelle","non-dropping-particle":"","parse-names":false,"suffix":""},{"dropping-particle":"","family":"Agha","given":"Maliha","non-dropping-particle":"","parse-names":false,"suffix":""},{"dropping-particle":"","family":"Agha","given":"Riaz","non-dropping-particle":"","parse-names":false,"suffix":""}],"container-title":"International Journal of Surgery","id":"ITEM-1","issue":"March","issued":{"date-parts":[["2021"]]},"page":"39-42","title":"PRISMA 2020 statement: What's new and the importance of reporting guidelines","type":"article-journal","volume":"88"},"uris":["http://www.mendeley.com/documents/?uuid=4608ec63-9943-42f3-a233-5976f88bf6ab"]}],"mendeley":{"formattedCitation":"[15]","plainTextFormattedCitation":"[15]","previouslyFormattedCitation":"[15]"},"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[15]</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To assess the notability of the article, the author uses </w:t>
      </w:r>
      <w:r w:rsidRPr="0073697F">
        <w:rPr>
          <w:rFonts w:ascii="Times New Roman" w:hAnsi="Times New Roman" w:cs="Times New Roman"/>
          <w:i/>
          <w:sz w:val="24"/>
          <w:szCs w:val="24"/>
        </w:rPr>
        <w:t xml:space="preserve">Critical Appraisal Skill </w:t>
      </w:r>
      <w:proofErr w:type="spellStart"/>
      <w:r w:rsidRPr="0073697F">
        <w:rPr>
          <w:rFonts w:ascii="Times New Roman" w:hAnsi="Times New Roman" w:cs="Times New Roman"/>
          <w:i/>
          <w:sz w:val="24"/>
          <w:szCs w:val="24"/>
        </w:rPr>
        <w:t>Programme</w:t>
      </w:r>
      <w:proofErr w:type="spellEnd"/>
      <w:r w:rsidRPr="0073697F">
        <w:rPr>
          <w:rFonts w:ascii="Times New Roman" w:hAnsi="Times New Roman" w:cs="Times New Roman"/>
          <w:sz w:val="24"/>
          <w:szCs w:val="24"/>
        </w:rPr>
        <w:t xml:space="preserve"> (CASP) </w:t>
      </w:r>
      <w:r w:rsidRPr="0073697F">
        <w:rPr>
          <w:rFonts w:ascii="Times New Roman" w:hAnsi="Times New Roman" w:cs="Times New Roman"/>
          <w:bCs/>
          <w:sz w:val="24"/>
          <w:szCs w:val="24"/>
        </w:rPr>
        <w:fldChar w:fldCharType="begin" w:fldLock="1"/>
      </w:r>
      <w:r w:rsidRPr="0073697F">
        <w:rPr>
          <w:rFonts w:ascii="Times New Roman" w:hAnsi="Times New Roman" w:cs="Times New Roman"/>
          <w:bCs/>
          <w:sz w:val="24"/>
          <w:szCs w:val="24"/>
        </w:rPr>
        <w:instrText>ADDIN CSL_CITATION { "citationItems" : [ { "id" : "ITEM-1", "itemData" : { "author" : [ { "dropping-particle" : "", "family" : "Critical Appraisal Skills Programme", "given" : "", "non-dropping-particle" : "", "parse-names" : false, "suffix" : "" } ], "id" : "ITEM-1", "issued" : { "date-parts" : [ [ "2018" ] ] }, "title" : "CASP 2018: Checklist for critical appraisal of Studies", "type" : "article-journal" }, "uris" : [ "http://www.mendeley.com/documents/?uuid=1e00fc28-bd61-41a2-8d9d-bfb94a63ba18", "http://www.mendeley.com/documents/?uuid=6e5e251a-b1e2-4164-82d5-ec5a5f8faa60" ] } ], "mendeley" : { "formattedCitation" : "(Critical Appraisal Skills Programme, 2018)", "plainTextFormattedCitation" : "(Critical Appraisal Skills Programme, 2018)", "previouslyFormattedCitation" : "(Critical Appraisal Skills Programme, 2018)" }, "properties" : {  }, "schema" : "https://github.com/citation-style-language/schema/raw/master/csl-citation.json" }</w:instrText>
      </w:r>
      <w:r w:rsidRPr="0073697F">
        <w:rPr>
          <w:rFonts w:ascii="Times New Roman" w:hAnsi="Times New Roman" w:cs="Times New Roman"/>
          <w:bCs/>
          <w:sz w:val="24"/>
          <w:szCs w:val="24"/>
        </w:rPr>
        <w:fldChar w:fldCharType="separate"/>
      </w:r>
      <w:r w:rsidRPr="0073697F">
        <w:rPr>
          <w:rFonts w:ascii="Times New Roman" w:hAnsi="Times New Roman" w:cs="Times New Roman"/>
          <w:bCs/>
          <w:noProof/>
          <w:sz w:val="24"/>
          <w:szCs w:val="24"/>
        </w:rPr>
        <w:t>(Critical Appraisal Skills Programme, 2018)</w:t>
      </w:r>
      <w:r w:rsidRPr="0073697F">
        <w:rPr>
          <w:rFonts w:ascii="Times New Roman" w:hAnsi="Times New Roman" w:cs="Times New Roman"/>
          <w:bCs/>
          <w:sz w:val="24"/>
          <w:szCs w:val="24"/>
        </w:rPr>
        <w:fldChar w:fldCharType="end"/>
      </w:r>
      <w:r w:rsidRPr="0073697F">
        <w:rPr>
          <w:rFonts w:ascii="Times New Roman" w:hAnsi="Times New Roman" w:cs="Times New Roman"/>
          <w:bCs/>
          <w:sz w:val="24"/>
          <w:szCs w:val="24"/>
        </w:rPr>
        <w:t xml:space="preserve"> </w:t>
      </w:r>
      <w:r w:rsidRPr="0073697F">
        <w:rPr>
          <w:rFonts w:ascii="Times New Roman" w:hAnsi="Times New Roman" w:cs="Times New Roman"/>
          <w:sz w:val="24"/>
          <w:szCs w:val="24"/>
        </w:rPr>
        <w:t xml:space="preserve">and </w:t>
      </w:r>
      <w:r w:rsidRPr="0073697F">
        <w:rPr>
          <w:rFonts w:ascii="Times New Roman" w:hAnsi="Times New Roman" w:cs="Times New Roman"/>
          <w:i/>
          <w:sz w:val="24"/>
          <w:szCs w:val="24"/>
        </w:rPr>
        <w:t>Centre for Evidence-Based Medicine</w:t>
      </w:r>
      <w:r w:rsidRPr="0073697F">
        <w:rPr>
          <w:rFonts w:ascii="Times New Roman" w:hAnsi="Times New Roman" w:cs="Times New Roman"/>
          <w:sz w:val="24"/>
          <w:szCs w:val="24"/>
        </w:rPr>
        <w:t xml:space="preserve"> (CEBM) tool</w:t>
      </w:r>
      <w:r w:rsidRPr="0073697F">
        <w:rPr>
          <w:rFonts w:ascii="Times New Roman" w:hAnsi="Times New Roman" w:cs="Times New Roman"/>
          <w:i/>
          <w:sz w:val="24"/>
          <w:szCs w:val="24"/>
        </w:rPr>
        <w:t xml:space="preserve"> (</w:t>
      </w:r>
      <w:r w:rsidRPr="0073697F">
        <w:rPr>
          <w:rFonts w:ascii="Times New Roman" w:hAnsi="Times New Roman" w:cs="Times New Roman"/>
          <w:bCs/>
          <w:i/>
          <w:sz w:val="24"/>
          <w:szCs w:val="24"/>
        </w:rPr>
        <w:fldChar w:fldCharType="begin" w:fldLock="1"/>
      </w:r>
      <w:r w:rsidRPr="0073697F">
        <w:rPr>
          <w:rFonts w:ascii="Times New Roman" w:hAnsi="Times New Roman" w:cs="Times New Roman"/>
          <w:bCs/>
          <w:i/>
          <w:sz w:val="24"/>
          <w:szCs w:val="24"/>
        </w:rPr>
        <w:instrText>ADDIN CSL_CITATION { "citationItems" : [ { "id" : "ITEM-1", "itemData" : { "author" : [ { "dropping-particle" : "", "family" : "Center for Evidence-Based Management", "given" : "", "non-dropping-particle" : "", "parse-names" : false, "suffix" : "" } ], "id" : "ITEM-1", "issued" : { "date-parts" : [ [ "2014" ] ] }, "page" : "2014", "title" : "Critical Appraisal of a Case Study Appraisal questions", "type" : "article-journal" }, "uris" : [ "http://www.mendeley.com/documents/?uuid=2d42bb25-c1f6-4e7a-9bc1-9f0ac41620d7", "http://www.mendeley.com/documents/?uuid=f03e582f-5f18-4c76-b0ea-36b5edb7ea7a" ] } ], "mendeley" : { "formattedCitation" : "(Center for Evidence-Based Management, 2014)", "manualFormatting" : "Center for Evidence-Based Medicine, 2014)", "plainTextFormattedCitation" : "(Center for Evidence-Based Management, 2014)", "previouslyFormattedCitation" : "(Center for Evidence-Based Management, 2014)" }, "properties" : {  }, "schema" : "https://github.com/citation-style-language/schema/raw/master/csl-citation.json" }</w:instrText>
      </w:r>
      <w:r w:rsidRPr="0073697F">
        <w:rPr>
          <w:rFonts w:ascii="Times New Roman" w:hAnsi="Times New Roman" w:cs="Times New Roman"/>
          <w:bCs/>
          <w:i/>
          <w:sz w:val="24"/>
          <w:szCs w:val="24"/>
        </w:rPr>
        <w:fldChar w:fldCharType="separate"/>
      </w:r>
      <w:r w:rsidRPr="0073697F">
        <w:rPr>
          <w:rFonts w:ascii="Times New Roman" w:hAnsi="Times New Roman" w:cs="Times New Roman"/>
          <w:bCs/>
          <w:i/>
          <w:noProof/>
          <w:sz w:val="24"/>
          <w:szCs w:val="24"/>
        </w:rPr>
        <w:t xml:space="preserve">Center for Evidence-Based </w:t>
      </w:r>
      <w:r w:rsidRPr="0073697F">
        <w:rPr>
          <w:rFonts w:ascii="Times New Roman" w:hAnsi="Times New Roman" w:cs="Times New Roman"/>
          <w:i/>
          <w:noProof/>
          <w:sz w:val="24"/>
          <w:szCs w:val="24"/>
        </w:rPr>
        <w:t>Medicine</w:t>
      </w:r>
      <w:r w:rsidRPr="0073697F">
        <w:rPr>
          <w:rFonts w:ascii="Times New Roman" w:hAnsi="Times New Roman" w:cs="Times New Roman"/>
          <w:bCs/>
          <w:noProof/>
          <w:sz w:val="24"/>
          <w:szCs w:val="24"/>
        </w:rPr>
        <w:t>, 2014)</w:t>
      </w:r>
      <w:r w:rsidRPr="0073697F">
        <w:rPr>
          <w:rFonts w:ascii="Times New Roman" w:hAnsi="Times New Roman" w:cs="Times New Roman"/>
          <w:bCs/>
          <w:i/>
          <w:sz w:val="24"/>
          <w:szCs w:val="24"/>
        </w:rPr>
        <w:fldChar w:fldCharType="end"/>
      </w:r>
      <w:r w:rsidRPr="0073697F">
        <w:rPr>
          <w:rFonts w:ascii="Times New Roman" w:hAnsi="Times New Roman" w:cs="Times New Roman"/>
          <w:bCs/>
          <w:i/>
          <w:sz w:val="24"/>
          <w:szCs w:val="24"/>
        </w:rPr>
        <w:t>.</w:t>
      </w:r>
    </w:p>
    <w:p w14:paraId="5EDD356B" w14:textId="77777777" w:rsidR="0073697F" w:rsidRPr="0073697F" w:rsidRDefault="0073697F" w:rsidP="0073697F">
      <w:pPr>
        <w:spacing w:after="0"/>
        <w:ind w:left="294" w:firstLine="840"/>
        <w:jc w:val="both"/>
        <w:rPr>
          <w:rFonts w:ascii="Times New Roman" w:hAnsi="Times New Roman" w:cs="Times New Roman"/>
          <w:sz w:val="24"/>
          <w:szCs w:val="24"/>
        </w:rPr>
      </w:pPr>
      <w:r w:rsidRPr="0073697F">
        <w:rPr>
          <w:rFonts w:ascii="Times New Roman" w:hAnsi="Times New Roman" w:cs="Times New Roman"/>
          <w:sz w:val="24"/>
          <w:szCs w:val="24"/>
        </w:rPr>
        <w:t xml:space="preserve">The literature search was carried out in 5 databases, i.e., </w:t>
      </w:r>
      <w:r w:rsidRPr="0073697F">
        <w:rPr>
          <w:rFonts w:ascii="Times New Roman" w:hAnsi="Times New Roman" w:cs="Times New Roman"/>
          <w:i/>
          <w:sz w:val="24"/>
          <w:szCs w:val="24"/>
        </w:rPr>
        <w:t>Google Scholar</w:t>
      </w:r>
      <w:r w:rsidRPr="0073697F">
        <w:rPr>
          <w:rFonts w:ascii="Times New Roman" w:hAnsi="Times New Roman" w:cs="Times New Roman"/>
          <w:sz w:val="24"/>
          <w:szCs w:val="24"/>
        </w:rPr>
        <w:t xml:space="preserve"> (n=3,260), </w:t>
      </w:r>
      <w:r w:rsidRPr="0073697F">
        <w:rPr>
          <w:rFonts w:ascii="Times New Roman" w:hAnsi="Times New Roman" w:cs="Times New Roman"/>
          <w:i/>
          <w:sz w:val="24"/>
          <w:szCs w:val="24"/>
        </w:rPr>
        <w:t>PubMed</w:t>
      </w:r>
      <w:r w:rsidRPr="0073697F">
        <w:rPr>
          <w:rFonts w:ascii="Times New Roman" w:hAnsi="Times New Roman" w:cs="Times New Roman"/>
          <w:sz w:val="24"/>
          <w:szCs w:val="24"/>
        </w:rPr>
        <w:t xml:space="preserve"> (n=172), </w:t>
      </w:r>
      <w:r w:rsidRPr="0073697F">
        <w:rPr>
          <w:rFonts w:ascii="Times New Roman" w:hAnsi="Times New Roman" w:cs="Times New Roman"/>
          <w:i/>
          <w:sz w:val="24"/>
          <w:szCs w:val="24"/>
        </w:rPr>
        <w:t>ProQuest</w:t>
      </w:r>
      <w:r w:rsidRPr="0073697F">
        <w:rPr>
          <w:rFonts w:ascii="Times New Roman" w:hAnsi="Times New Roman" w:cs="Times New Roman"/>
          <w:sz w:val="24"/>
          <w:szCs w:val="24"/>
        </w:rPr>
        <w:t xml:space="preserve"> (n=162), </w:t>
      </w:r>
      <w:r w:rsidRPr="0073697F">
        <w:rPr>
          <w:rFonts w:ascii="Times New Roman" w:hAnsi="Times New Roman" w:cs="Times New Roman"/>
          <w:i/>
          <w:sz w:val="24"/>
          <w:szCs w:val="24"/>
        </w:rPr>
        <w:t>Sage</w:t>
      </w:r>
      <w:r w:rsidRPr="0073697F">
        <w:rPr>
          <w:rFonts w:ascii="Times New Roman" w:hAnsi="Times New Roman" w:cs="Times New Roman"/>
          <w:sz w:val="24"/>
          <w:szCs w:val="24"/>
        </w:rPr>
        <w:t xml:space="preserve"> (n=84), dan </w:t>
      </w:r>
      <w:r w:rsidRPr="0073697F">
        <w:rPr>
          <w:rFonts w:ascii="Times New Roman" w:hAnsi="Times New Roman" w:cs="Times New Roman"/>
          <w:i/>
          <w:sz w:val="24"/>
          <w:szCs w:val="24"/>
        </w:rPr>
        <w:t xml:space="preserve">ScienceDirect </w:t>
      </w:r>
      <w:r w:rsidRPr="0073697F">
        <w:rPr>
          <w:rFonts w:ascii="Times New Roman" w:hAnsi="Times New Roman" w:cs="Times New Roman"/>
          <w:sz w:val="24"/>
          <w:szCs w:val="24"/>
        </w:rPr>
        <w:t xml:space="preserve">(n= 65). A total of 3,743 articles were identified from all five database searches that have been filtered into the last 5 years. However, after the screening, only 36 articles were found matching the title of this study. </w:t>
      </w:r>
    </w:p>
    <w:p w14:paraId="67572B20" w14:textId="77777777" w:rsidR="0073697F" w:rsidRPr="0073697F" w:rsidRDefault="0073697F" w:rsidP="0073697F">
      <w:pPr>
        <w:spacing w:after="0"/>
        <w:ind w:left="294" w:firstLine="840"/>
        <w:jc w:val="both"/>
        <w:rPr>
          <w:rFonts w:ascii="Times New Roman" w:hAnsi="Times New Roman" w:cs="Times New Roman"/>
          <w:sz w:val="24"/>
          <w:szCs w:val="24"/>
        </w:rPr>
      </w:pPr>
      <w:r w:rsidRPr="0073697F">
        <w:rPr>
          <w:rFonts w:ascii="Times New Roman" w:hAnsi="Times New Roman" w:cs="Times New Roman"/>
          <w:sz w:val="24"/>
          <w:szCs w:val="24"/>
        </w:rPr>
        <w:t>Furthermore, screening was carried out to assess the eligibility of articles based on inclusion and exclusion criteria. Of the 36 articles, 26 were excluded because they did not meet the inclusion criteria, for the reason of double publication (n = 5), qualitative research design (n = 4), not research results (n = 8), and abstract (n = 9). Thus, only 11 articles met the inclusion criteria.</w:t>
      </w:r>
    </w:p>
    <w:p w14:paraId="161E61FD" w14:textId="77777777" w:rsidR="0073697F" w:rsidRPr="0073697F" w:rsidRDefault="0073697F" w:rsidP="0073697F">
      <w:pPr>
        <w:spacing w:after="0"/>
        <w:ind w:left="294" w:firstLine="840"/>
        <w:jc w:val="both"/>
        <w:rPr>
          <w:rFonts w:ascii="Times New Roman" w:hAnsi="Times New Roman" w:cs="Times New Roman"/>
          <w:sz w:val="24"/>
          <w:szCs w:val="24"/>
        </w:rPr>
      </w:pPr>
      <w:r w:rsidRPr="0073697F">
        <w:rPr>
          <w:rFonts w:ascii="Times New Roman" w:hAnsi="Times New Roman" w:cs="Times New Roman"/>
          <w:sz w:val="24"/>
          <w:szCs w:val="24"/>
        </w:rPr>
        <w:t>Articles included for this literature review are those that (1) focus on VDR and infection; (2) is written in English; (3) was published in the last 5 years, namely from 2018-2022; and (4) are articles on nursing.</w:t>
      </w:r>
    </w:p>
    <w:p w14:paraId="5EC3C8CF" w14:textId="77777777" w:rsidR="0073697F" w:rsidRPr="0073697F" w:rsidRDefault="0073697F" w:rsidP="0073697F">
      <w:pPr>
        <w:spacing w:after="0"/>
        <w:jc w:val="center"/>
        <w:rPr>
          <w:rFonts w:ascii="Times New Roman" w:hAnsi="Times New Roman" w:cs="Times New Roman"/>
          <w:sz w:val="24"/>
          <w:szCs w:val="24"/>
        </w:rPr>
      </w:pPr>
      <w:r w:rsidRPr="0073697F">
        <w:rPr>
          <w:rFonts w:ascii="Times New Roman" w:hAnsi="Times New Roman" w:cs="Times New Roman"/>
          <w:sz w:val="24"/>
          <w:szCs w:val="24"/>
        </w:rPr>
        <w:lastRenderedPageBreak/>
        <w:drawing>
          <wp:inline distT="0" distB="0" distL="0" distR="0" wp14:anchorId="0E7B8B93" wp14:editId="04D01C3A">
            <wp:extent cx="4064414" cy="36045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8384" cy="3625822"/>
                    </a:xfrm>
                    <a:prstGeom prst="rect">
                      <a:avLst/>
                    </a:prstGeom>
                  </pic:spPr>
                </pic:pic>
              </a:graphicData>
            </a:graphic>
          </wp:inline>
        </w:drawing>
      </w:r>
    </w:p>
    <w:p w14:paraId="72AFA390" w14:textId="465C5208" w:rsidR="0073697F" w:rsidRPr="0073697F" w:rsidRDefault="0073697F" w:rsidP="0073697F">
      <w:pPr>
        <w:spacing w:after="0"/>
        <w:jc w:val="center"/>
        <w:rPr>
          <w:rFonts w:ascii="Times New Roman" w:hAnsi="Times New Roman" w:cs="Times New Roman"/>
          <w:sz w:val="24"/>
          <w:szCs w:val="24"/>
        </w:rPr>
      </w:pPr>
      <w:r w:rsidRPr="0073697F">
        <w:rPr>
          <w:rFonts w:ascii="Times New Roman" w:hAnsi="Times New Roman" w:cs="Times New Roman"/>
          <w:sz w:val="24"/>
          <w:szCs w:val="24"/>
        </w:rPr>
        <w:t>Figure 1: Flowchart of the Article Selection</w:t>
      </w:r>
    </w:p>
    <w:p w14:paraId="5722C66B" w14:textId="77777777" w:rsidR="0073697F" w:rsidRPr="0073697F" w:rsidRDefault="0073697F" w:rsidP="0073697F">
      <w:pPr>
        <w:spacing w:after="0"/>
        <w:jc w:val="center"/>
        <w:rPr>
          <w:rFonts w:ascii="Times New Roman" w:hAnsi="Times New Roman" w:cs="Times New Roman"/>
          <w:sz w:val="24"/>
          <w:szCs w:val="24"/>
        </w:rPr>
      </w:pPr>
    </w:p>
    <w:bookmarkEnd w:id="1"/>
    <w:p w14:paraId="6C22E17E" w14:textId="77777777" w:rsidR="0073697F" w:rsidRPr="0073697F" w:rsidRDefault="0073697F" w:rsidP="0073697F">
      <w:pPr>
        <w:pStyle w:val="Heading1"/>
        <w:numPr>
          <w:ilvl w:val="0"/>
          <w:numId w:val="7"/>
        </w:numPr>
        <w:spacing w:before="0"/>
        <w:ind w:left="720"/>
        <w:contextualSpacing/>
        <w:rPr>
          <w:rFonts w:ascii="Times New Roman" w:hAnsi="Times New Roman" w:cs="Times New Roman"/>
          <w:color w:val="auto"/>
          <w:sz w:val="24"/>
          <w:szCs w:val="24"/>
        </w:rPr>
      </w:pPr>
      <w:r w:rsidRPr="0073697F">
        <w:rPr>
          <w:rFonts w:ascii="Times New Roman" w:hAnsi="Times New Roman" w:cs="Times New Roman"/>
          <w:color w:val="auto"/>
          <w:sz w:val="24"/>
          <w:szCs w:val="24"/>
        </w:rPr>
        <w:t>Results</w:t>
      </w:r>
    </w:p>
    <w:p w14:paraId="11318AD3" w14:textId="77777777" w:rsidR="0073697F" w:rsidRPr="0073697F" w:rsidRDefault="0073697F" w:rsidP="0073697F">
      <w:pPr>
        <w:pStyle w:val="Heading3"/>
        <w:spacing w:before="0" w:line="276" w:lineRule="auto"/>
        <w:ind w:left="426"/>
        <w:contextualSpacing/>
        <w:rPr>
          <w:rFonts w:ascii="Times New Roman" w:hAnsi="Times New Roman" w:cs="Times New Roman"/>
          <w:i/>
          <w:color w:val="auto"/>
        </w:rPr>
      </w:pPr>
      <w:r w:rsidRPr="0073697F">
        <w:rPr>
          <w:rFonts w:ascii="Times New Roman" w:hAnsi="Times New Roman" w:cs="Times New Roman"/>
          <w:i/>
          <w:color w:val="auto"/>
        </w:rPr>
        <w:t>Method</w:t>
      </w:r>
    </w:p>
    <w:p w14:paraId="34A7716F" w14:textId="77777777" w:rsidR="0073697F" w:rsidRPr="0073697F" w:rsidRDefault="0073697F" w:rsidP="0073697F">
      <w:pPr>
        <w:pStyle w:val="ListParagraph"/>
        <w:tabs>
          <w:tab w:val="left" w:pos="1134"/>
        </w:tabs>
        <w:spacing w:after="0"/>
        <w:ind w:left="426"/>
        <w:jc w:val="both"/>
        <w:rPr>
          <w:rFonts w:ascii="Times New Roman" w:hAnsi="Times New Roman" w:cs="Times New Roman"/>
          <w:sz w:val="24"/>
          <w:szCs w:val="24"/>
        </w:rPr>
      </w:pPr>
      <w:r w:rsidRPr="0073697F">
        <w:rPr>
          <w:rFonts w:ascii="Times New Roman" w:hAnsi="Times New Roman" w:cs="Times New Roman"/>
          <w:b/>
          <w:sz w:val="24"/>
          <w:szCs w:val="24"/>
        </w:rPr>
        <w:tab/>
      </w:r>
      <w:r w:rsidRPr="0073697F">
        <w:rPr>
          <w:rFonts w:ascii="Times New Roman" w:hAnsi="Times New Roman" w:cs="Times New Roman"/>
          <w:sz w:val="24"/>
          <w:szCs w:val="24"/>
        </w:rPr>
        <w:t xml:space="preserve">Of the 11 articles selected, there are 5 methods used, namely </w:t>
      </w:r>
      <w:r w:rsidRPr="0073697F">
        <w:rPr>
          <w:rFonts w:ascii="Times New Roman" w:hAnsi="Times New Roman" w:cs="Times New Roman"/>
          <w:i/>
          <w:sz w:val="24"/>
          <w:szCs w:val="24"/>
        </w:rPr>
        <w:t>Cross-sectional</w:t>
      </w:r>
      <w:r w:rsidRPr="0073697F">
        <w:rPr>
          <w:rFonts w:ascii="Times New Roman" w:hAnsi="Times New Roman" w:cs="Times New Roman"/>
          <w:sz w:val="24"/>
          <w:szCs w:val="24"/>
        </w:rPr>
        <w:t xml:space="preserve"> (n=3), </w:t>
      </w:r>
      <w:r w:rsidRPr="0073697F">
        <w:rPr>
          <w:rFonts w:ascii="Times New Roman" w:hAnsi="Times New Roman" w:cs="Times New Roman"/>
          <w:i/>
          <w:sz w:val="24"/>
          <w:szCs w:val="24"/>
        </w:rPr>
        <w:t>Systematic review</w:t>
      </w:r>
      <w:r w:rsidRPr="0073697F">
        <w:rPr>
          <w:rFonts w:ascii="Times New Roman" w:hAnsi="Times New Roman" w:cs="Times New Roman"/>
          <w:sz w:val="24"/>
          <w:szCs w:val="24"/>
        </w:rPr>
        <w:t xml:space="preserve"> (n=2), </w:t>
      </w:r>
      <w:r w:rsidRPr="0073697F">
        <w:rPr>
          <w:rFonts w:ascii="Times New Roman" w:hAnsi="Times New Roman" w:cs="Times New Roman"/>
          <w:i/>
          <w:sz w:val="24"/>
          <w:szCs w:val="24"/>
        </w:rPr>
        <w:t>Meta-analysis</w:t>
      </w:r>
      <w:r w:rsidRPr="0073697F">
        <w:rPr>
          <w:rFonts w:ascii="Times New Roman" w:hAnsi="Times New Roman" w:cs="Times New Roman"/>
          <w:sz w:val="24"/>
          <w:szCs w:val="24"/>
        </w:rPr>
        <w:t xml:space="preserve"> (n=2), </w:t>
      </w:r>
      <w:r w:rsidRPr="0073697F">
        <w:rPr>
          <w:rFonts w:ascii="Times New Roman" w:hAnsi="Times New Roman" w:cs="Times New Roman"/>
          <w:i/>
          <w:sz w:val="24"/>
          <w:szCs w:val="24"/>
        </w:rPr>
        <w:t>Cohort Study</w:t>
      </w:r>
      <w:r w:rsidRPr="0073697F">
        <w:rPr>
          <w:rFonts w:ascii="Times New Roman" w:hAnsi="Times New Roman" w:cs="Times New Roman"/>
          <w:sz w:val="24"/>
          <w:szCs w:val="24"/>
        </w:rPr>
        <w:t xml:space="preserve"> (n=3), and </w:t>
      </w:r>
      <w:r w:rsidRPr="0073697F">
        <w:rPr>
          <w:rFonts w:ascii="Times New Roman" w:hAnsi="Times New Roman" w:cs="Times New Roman"/>
          <w:i/>
          <w:sz w:val="24"/>
          <w:szCs w:val="24"/>
        </w:rPr>
        <w:t>Experimental in vivo</w:t>
      </w:r>
      <w:r w:rsidRPr="0073697F">
        <w:rPr>
          <w:rFonts w:ascii="Times New Roman" w:hAnsi="Times New Roman" w:cs="Times New Roman"/>
          <w:sz w:val="24"/>
          <w:szCs w:val="24"/>
        </w:rPr>
        <w:t xml:space="preserve"> (n=1). Research from the 11 articles was conducted in several countries, namely China (n=3), Indonesia (n=2), Sweden (n=1), AS (n=1), UK (n=1), Egypt (n=1), and Russia (n=1).</w:t>
      </w:r>
    </w:p>
    <w:p w14:paraId="16B76C52" w14:textId="77777777" w:rsidR="0073697F" w:rsidRPr="0073697F" w:rsidRDefault="0073697F" w:rsidP="0073697F">
      <w:pPr>
        <w:pStyle w:val="ListParagraph"/>
        <w:tabs>
          <w:tab w:val="left" w:pos="1134"/>
        </w:tabs>
        <w:spacing w:after="0"/>
        <w:ind w:left="426"/>
        <w:jc w:val="both"/>
        <w:rPr>
          <w:rFonts w:ascii="Times New Roman" w:hAnsi="Times New Roman" w:cs="Times New Roman"/>
          <w:b/>
          <w:i/>
          <w:sz w:val="24"/>
          <w:szCs w:val="24"/>
        </w:rPr>
      </w:pPr>
      <w:r w:rsidRPr="0073697F">
        <w:rPr>
          <w:rFonts w:ascii="Times New Roman" w:hAnsi="Times New Roman" w:cs="Times New Roman"/>
          <w:b/>
          <w:i/>
          <w:sz w:val="24"/>
          <w:szCs w:val="24"/>
        </w:rPr>
        <w:t>Sample</w:t>
      </w:r>
    </w:p>
    <w:p w14:paraId="15C333B9" w14:textId="77777777" w:rsidR="0073697F" w:rsidRPr="0073697F" w:rsidRDefault="0073697F" w:rsidP="0073697F">
      <w:pPr>
        <w:pStyle w:val="ListParagraph"/>
        <w:tabs>
          <w:tab w:val="left" w:pos="1134"/>
        </w:tabs>
        <w:spacing w:after="0"/>
        <w:ind w:left="426"/>
        <w:jc w:val="both"/>
        <w:rPr>
          <w:rFonts w:ascii="Times New Roman" w:hAnsi="Times New Roman" w:cs="Times New Roman"/>
          <w:sz w:val="24"/>
          <w:szCs w:val="24"/>
        </w:rPr>
      </w:pPr>
      <w:r w:rsidRPr="0073697F">
        <w:rPr>
          <w:rFonts w:ascii="Times New Roman" w:hAnsi="Times New Roman" w:cs="Times New Roman"/>
          <w:sz w:val="24"/>
          <w:szCs w:val="24"/>
        </w:rPr>
        <w:tab/>
        <w:t xml:space="preserve">From 11 articles included, Huss et al.'s (2019) research used a sample of 718 women with invasive breast </w:t>
      </w:r>
      <w:proofErr w:type="spellStart"/>
      <w:r w:rsidRPr="0073697F">
        <w:rPr>
          <w:rFonts w:ascii="Times New Roman" w:hAnsi="Times New Roman" w:cs="Times New Roman"/>
          <w:sz w:val="24"/>
          <w:szCs w:val="24"/>
        </w:rPr>
        <w:t>tumor</w:t>
      </w:r>
      <w:proofErr w:type="spellEnd"/>
      <w:r w:rsidRPr="0073697F">
        <w:rPr>
          <w:rFonts w:ascii="Times New Roman" w:hAnsi="Times New Roman" w:cs="Times New Roman"/>
          <w:sz w:val="24"/>
          <w:szCs w:val="24"/>
        </w:rPr>
        <w:t xml:space="preserve"> </w:t>
      </w:r>
      <w:r w:rsidRPr="0073697F">
        <w:rPr>
          <w:rFonts w:ascii="Times New Roman" w:hAnsi="Times New Roman" w:cs="Times New Roman"/>
          <w:sz w:val="24"/>
          <w:szCs w:val="24"/>
          <w:shd w:val="clear" w:color="auto" w:fill="FFFFFF"/>
        </w:rPr>
        <w:fldChar w:fldCharType="begin" w:fldLock="1"/>
      </w:r>
      <w:r w:rsidRPr="0073697F">
        <w:rPr>
          <w:rFonts w:ascii="Times New Roman" w:hAnsi="Times New Roman" w:cs="Times New Roman"/>
          <w:sz w:val="24"/>
          <w:szCs w:val="24"/>
          <w:shd w:val="clear" w:color="auto" w:fill="FFFFFF"/>
        </w:rPr>
        <w:instrText>ADDIN CSL_CITATION {"citationItems":[{"id":"ITEM-1","itemData":{"DOI":"10.1186/s13058-019-1169-1","ISBN":"1305801911","ISSN":"1465542X","PMID":"31358030","abstract":"Background: Vitamin D has been suggested to prevent and improve the prognosis of several cancers, including breast cancer. We have previously shown a U-shaped association between pre-diagnostic serum levels of vitamin D and risk of breast cancer-related death, with poor survival in patients with the lowest and the highest levels respectively, as compared to the intermediate group. Vitamin D exerts its functions through the vitamin D receptor (VDR), and the aim of the current study was to investigate if the expression of VDR in invasive breast tumors is associated with breast cancer prognosis. Methods: VDR expression was evaluated in a tissue microarray of 718 invasive breast tumors. Covariation between VDR expression and established prognostic factors for breast cancer was analyzed, as well as associations between VDR expression and breast cancer mortality. Results: We found that positive VDR expression in the nuclei and cytoplasm of breast cancer cells was associated with favorable tumor characteristics such as smaller size, lower grade, estrogen receptor positivity and progesterone receptor positivity, and lower expression of Ki67. In addition, both intranuclear and cytoplasmic VDR expression were associated with a low risk of breast cancer mortality, hazard ratios 0.56 (95% CI 0.34-0.91) and 0.59 (0.30-1.16) respectively. Conclusions: This study found that high expression of VDR in invasive breast tumors is associated with favorable prognostic factors and a low risk of breast cancer death. Hence, a high VDR expression is a positive prognostic factor.","author":[{"dropping-particle":"","family":"Huss","given":"Linnea","non-dropping-particle":"","parse-names":false,"suffix":""},{"dropping-particle":"","family":"Butt","given":"Salma Tunå","non-dropping-particle":"","parse-names":false,"suffix":""},{"dropping-particle":"","family":"Borgquist","given":"Signe","non-dropping-particle":"","parse-names":false,"suffix":""},{"dropping-particle":"","family":"Elebro","given":"Karin","non-dropping-particle":"","parse-names":false,"suffix":""},{"dropping-particle":"","family":"Sandsveden","given":"Malte","non-dropping-particle":"","parse-names":false,"suffix":""},{"dropping-particle":"","family":"Rosendahl","given":"Ann","non-dropping-particle":"","parse-names":false,"suffix":""},{"dropping-particle":"","family":"Manjer","given":"Jonas","non-dropping-particle":"","parse-names":false,"suffix":""}],"container-title":"Breast Cancer Research","id":"ITEM-1","issue":"1","issued":{"date-parts":[["2019"]]},"page":"1-13","publisher":"Breast Cancer Research","title":"Vitamin D receptor expression in invasive breast tumors and breast cancer survival","type":"article-journal","volume":"21"},"uris":["http://www.mendeley.com/documents/?uuid=5e31370b-fe6b-4297-b990-c68d5a9ceef9"]}],"mendeley":{"formattedCitation":"[16]","plainTextFormattedCitation":"[16]","previouslyFormattedCitation":"[16]"},"properties":{"noteIndex":0},"schema":"https://github.com/citation-style-language/schema/raw/master/csl-citation.json"}</w:instrText>
      </w:r>
      <w:r w:rsidRPr="0073697F">
        <w:rPr>
          <w:rFonts w:ascii="Times New Roman" w:hAnsi="Times New Roman" w:cs="Times New Roman"/>
          <w:sz w:val="24"/>
          <w:szCs w:val="24"/>
          <w:shd w:val="clear" w:color="auto" w:fill="FFFFFF"/>
        </w:rPr>
        <w:fldChar w:fldCharType="separate"/>
      </w:r>
      <w:r w:rsidRPr="0073697F">
        <w:rPr>
          <w:rFonts w:ascii="Times New Roman" w:hAnsi="Times New Roman" w:cs="Times New Roman"/>
          <w:noProof/>
          <w:sz w:val="24"/>
          <w:szCs w:val="24"/>
          <w:shd w:val="clear" w:color="auto" w:fill="FFFFFF"/>
        </w:rPr>
        <w:t>[16]</w:t>
      </w:r>
      <w:r w:rsidRPr="0073697F">
        <w:rPr>
          <w:rFonts w:ascii="Times New Roman" w:hAnsi="Times New Roman" w:cs="Times New Roman"/>
          <w:sz w:val="24"/>
          <w:szCs w:val="24"/>
          <w:shd w:val="clear" w:color="auto" w:fill="FFFFFF"/>
        </w:rPr>
        <w:fldChar w:fldCharType="end"/>
      </w:r>
      <w:r w:rsidRPr="0073697F">
        <w:rPr>
          <w:rFonts w:ascii="Times New Roman" w:hAnsi="Times New Roman" w:cs="Times New Roman"/>
          <w:sz w:val="24"/>
          <w:szCs w:val="24"/>
          <w:shd w:val="clear" w:color="auto" w:fill="FFFFFF"/>
        </w:rPr>
        <w:t>. A similar research by M. Yu et al., 2021 used 19 intestinal tissue samples</w:t>
      </w:r>
      <w:r w:rsidRPr="0073697F">
        <w:rPr>
          <w:rFonts w:ascii="Times New Roman" w:hAnsi="Times New Roman" w:cs="Times New Roman"/>
          <w:sz w:val="24"/>
          <w:szCs w:val="24"/>
        </w:rPr>
        <w:t xml:space="preserv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{"citationItems":[{"id":"ITEM-1","itemData":{"DOI":"10.1016/j.jbc.2021.100531","ISSN":"1083351X","PMID":"33713706","abstract":"We previously showed that the vitamin D receptor (VDR) plays a crucial role in acute inflammatory bowel disease and that intestinal fibrosis is a common complication of Crohn's disease (CD). Epithelial-mesenchymal transition (EMT) is an important hallmark of fibrogenesis through which epithelial cells lose their epithelial phenotype and transform into mesenchymal cells. It is known that the VDR plays an essential role in epithelial integrity and mitochondrial function, but its role in intestinal fibrosis remains unknown. Here, we investigated whether the VDR is involved in epithelial mitochondrial dysfunction that results in EMT in intestinal fibrosis. Using human CD samples, intestine-specific VDR-KO mice, and fibroblast cellular models, we showed that the expression of the VDR was significantly lower in intestinal stenotic areas than in nonstenotic areas in patients with chronic CD. Genetic deletion of the VDR in the intestinal epithelium exacerbated intestinal fibrosis in mice administered with dextran sulfate sodium or 2,4,6-trinitrobenzene sulfonic acid, two experimental colitis inducers. In addition, we found that vitamin D dietary intervention regulated intestinal fibrosis by modulating the intestinal expression of the VDR. Mechanistically, knocking down the VDR in both CCD-18Co cells and human primary colonic fibroblasts promoted fibroblast activation, whereas VDR overexpression or VDR agonist administration inhibited fibroblast activation. Further analysis illustrated that the VDR inhibited EMT in the HT29 cell model and that mitochondrial dysfunction mediated epithelial integrity and barrier function in VDR-deficient epithelial cells. Together, our data for the first time demonstrate that VDR activation alleviates intestinal fibrosis by inhibiting fibroblast activation and epithelial mitochondria-mediated EMT.","author":[{"dropping-particle":"","family":"Yu","given":"Mengli","non-dropping-particle":"","parse-names":false,"suffix":""},{"dropping-particle":"","family":"Wu","given":"Hao","non-dropping-particle":"","parse-names":false,"suffix":""},{"dropping-particle":"","family":"Wang","given":"Jinhai","non-dropping-particle":"","parse-names":false,"suffix":""},{"dropping-particle":"","family":"Chen","given":"Xueyang","non-dropping-particle":"","parse-names":false,"suffix":""},{"dropping-particle":"","family":"Pan","given":"Jiaqi","non-dropping-particle":"","parse-names":false,"suffix":""},{"dropping-particle":"","family":"Liu","given":"Peihao","non-dropping-particle":"","parse-names":false,"suffix":""},{"dropping-particle":"","family":"Zhang","given":"Jie","non-dropping-particle":"","parse-names":false,"suffix":""},{"dropping-particle":"","family":"Chen","given":"Yishu","non-dropping-particle":"","parse-names":false,"suffix":""},{"dropping-particle":"","family":"Zhu","given":"Wei","non-dropping-particle":"","parse-names":false,"suffix":""},{"dropping-particle":"","family":"Tang","given":"Chenxi","non-dropping-particle":"","parse-names":false,"suffix":""},{"dropping-particle":"","family":"Jin","given":"Qi","non-dropping-particle":"","parse-names":false,"suffix":""},{"dropping-particle":"","family":"Li","given":"Chunxiao","non-dropping-particle":"","parse-names":false,"suffix":""},{"dropping-particle":"","family":"Lu","given":"Chao","non-dropping-particle":"","parse-names":false,"suffix":""},{"dropping-particle":"","family":"Zeng","given":"Hang","non-dropping-particle":"","parse-names":false,"suffix":""},{"dropping-particle":"","family":"Yu","given":"Chaohui","non-dropping-particle":"","parse-names":false,"suffix":""},{"dropping-particle":"","family":"Sun","given":"Jing","non-dropping-particle":"","parse-names":false,"suffix":""}],"container-title":"Journal of Biological Chemistry","id":"ITEM-1","issued":{"date-parts":[["2021"]]},"page":"100531","publisher":"Elsevier B.V","title":"Vitamin D receptor inhibits EMT via regulation of the epithelial mitochondrial function in intestinal fibrosis","type":"article-journal","volume":"296"},"uris":["http://www.mendeley.com/documents/?uuid=da5a5722-504f-4b73-b80c-7411a814b838"]}],"mendeley":{"formattedCitation":"[17]","plainTextFormattedCitation":"[17]","previouslyFormattedCitation":"[17]"},"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[17]</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r w:rsidRPr="0073697F">
        <w:rPr>
          <w:rFonts w:ascii="Times New Roman" w:hAnsi="Times New Roman" w:cs="Times New Roman"/>
          <w:sz w:val="24"/>
          <w:szCs w:val="24"/>
          <w:shd w:val="clear" w:color="auto" w:fill="FFFFFF"/>
        </w:rPr>
        <w:t xml:space="preserve">In the research by H. O. U. Yu et al., (2022) the samples were 10 articles from 5 databases regarding ARDS disease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{"citationItems":[{"id":"ITEM-1","itemData":{"DOI":"10.11817/j.issn.1672-7347.2022.210556","ISBN":"0000000306980","author":[{"dropping-particle":"","family":"Yu","given":"H O U","non-dropping-particle":"","parse-names":false,"suffix":""},{"dropping-particle":"","family":"Jinghui","given":"L I","non-dropping-particle":"","parse-names":false,"suffix":""},{"dropping-particle":"","family":"Chao","given":"Deng","non-dropping-particle":"","parse-names":false,"suffix":""}],"id":"ITEM-1","issue":"6","issued":{"date-parts":[["2022"]]},"page":"0-3","title":"Vitamin D / vitamin D receptor , autophagy , and infection","type":"article-journal","volume":"47"},"uris":["http://www.mendeley.com/documents/?uuid=cf8556b2-1558-4cdf-a86d-58b2568acfd4"]}],"mendeley":{"formattedCitation":"[11]","plainTextFormattedCitation":"[11]","previouslyFormattedCitation":"[11]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Sun &amp; Zhang's research, (2022) searches on PubMed and Google Scholar focused on VDR and intestine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{"citationItems":[{"id":"ITEM-1","itemData":{"DOI":"10.3390/cells11071129","ISSN":"20734409","abstract":"Vitamin D receptor (VDR) executes most of the biological functions of vitamin D. Beyond this, VDR is a transcriptional factor regulating the expression levels of many target genes, such as genes for tight junction proteins claudin-2,-5,-12, and-15. In this review, we discuss the progress of research on VDR that influences intestinal barriers in health and disease. We searched PubMed and Google Scholar using key words vitamin D, VDR, tight junctions, cancer, inflammation, and infection. We summarize the literature and progress reports on VDR regulation of tight junction distribution, cellular functions, and mechanisms (directly or indirectly). We review the impacts of VDR on barriers in various diseases, e.g., colon cancer, infection, inflammatory bowel disease, and chronic inflammatory lung diseases. We also discuss the limits of current studies and future directions. Deeper understanding of the mechanisms by which the VDR signaling regulates intestinal barrier functions allow us to develop efficient and effective therapeutic strategies based on levels of tight junction proteins and vitamin D/VDR statuses for human diseases.","author":[{"dropping-particle":"","family":"Sun","given":"Jun","non-dropping-particle":"","parse-names":false,"suffix":""},{"dropping-particle":"","family":"Zhang","given":"Yong Guo","non-dropping-particle":"","parse-names":false,"suffix":""}],"container-title":"Cells","id":"ITEM-1","issue":"7","issued":{"date-parts":[["2022"]]},"page":"1-23","title":"Vitamin D Receptor Influences Intestinal Barriers in Health and Disease","type":"article-journal","volume":"11"},"uris":["http://www.mendeley.com/documents/?uuid=5a1763a3-44bd-44c6-b105-ddbd24910531"]}],"mendeley":{"formattedCitation":"[18]","plainTextFormattedCitation":"[18]","previouslyFormattedCitation":"[18]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7CA400F1" w14:textId="77777777" w:rsidR="0073697F" w:rsidRPr="0073697F" w:rsidRDefault="0073697F" w:rsidP="0073697F">
      <w:pPr>
        <w:pStyle w:val="ListParagraph"/>
        <w:tabs>
          <w:tab w:val="left" w:pos="1134"/>
        </w:tabs>
        <w:spacing w:after="0"/>
        <w:ind w:left="426"/>
        <w:jc w:val="both"/>
        <w:rPr>
          <w:rFonts w:ascii="Times New Roman" w:hAnsi="Times New Roman" w:cs="Times New Roman"/>
          <w:sz w:val="24"/>
          <w:szCs w:val="24"/>
        </w:rPr>
      </w:pPr>
      <w:r w:rsidRPr="0073697F">
        <w:rPr>
          <w:rFonts w:ascii="Times New Roman" w:hAnsi="Times New Roman" w:cs="Times New Roman"/>
          <w:noProof/>
          <w:sz w:val="24"/>
          <w:szCs w:val="24"/>
        </w:rPr>
        <w:tab/>
        <w:t xml:space="preserve">Other studies were carried out by Zhao et al., (2018)  with a sample of 14 people with buccal mucosal sites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{"citationItems":[{"id":"ITEM-1","itemData":{"DOI":"10.1038/s41598-018-19234-z","ISSN":"20452322","PMID":"29335479","abstract":"The suppressive function of vitamin D on oral lichen planus (OLP) have been documented previously. Vitamin D receptor (VDR) expression is down-regulated in OLP, but the molecular mechanism of its decrease and the related anti-inflammatory contributor of epithelial VDR signaling is unclear. Herein, we demonstrated that lipopolysaccharide (LPS) remarkedly down-regulated VDR expression of keratinocytes, and the reduced regulation was dependent on tumor necrosis factor alpha (TNFα)-miR-346 pathway. In human specimen studies, VDR levels of oral mucosal epithelia from OLP patients decreased substantially accompanied with robust TNFα and miR-346 induction, compared to the normal tissues. In addition, vitamin D/VDR signaling inhibited LPS-induced p53-upregulated modulator of apoptosis (PUMA) induction in keratinocytes via impeding nuclear factor-κB (NF-κB) activation, resulting in keratinocytes apoptosis reduction. Importantly, PUMA activity was up-regulated strongly in diseased epithelium, reversely correlated with VDR expression. Totally, our data indicate that LPS is responsible for VDR downregulation in oral keratinocytes, which is associated with OLP development.","author":[{"dropping-particle":"","family":"Zhao","given":"Bin","non-dropping-particle":"","parse-names":false,"suffix":""},{"dropping-particle":"","family":"Li","given":"Ran","non-dropping-particle":"","parse-names":false,"suffix":""},{"dropping-particle":"","family":"Yang","given":"Fang","non-dropping-particle":"","parse-names":false,"suffix":""},{"dropping-particle":"","family":"Yu","given":"Feiyan","non-dropping-particle":"","parse-names":false,"suffix":""},{"dropping-particle":"","family":"Xu","given":"Na","non-dropping-particle":"","parse-names":false,"suffix":""},{"dropping-particle":"","family":"Zhang","given":"Fang","non-dropping-particle":"","parse-names":false,"suffix":""},{"dropping-particle":"","family":"Ge","given":"Xuejun","non-dropping-particle":"","parse-names":false,"suffix":""},{"dropping-particle":"","family":"Du","given":"Jie","non-dropping-particle":"","parse-names":false,"suffix":""}],"container-title":"Scientific Reports","id":"ITEM-1","issue":"1","issued":{"date-parts":[["2018"]]},"page":"1-9","title":"LPS-induced Vitamin D Receptor Decrease in Oral Keratinocytes Is Associated with Oral Lichen Planus","type":"article-journal","volume":"8"},"uris":["http://www.mendeley.com/documents/?uuid=bdd36c71-e0ae-4893-a931-71d75231210c"]}],"mendeley":{"formattedCitation":"[19]","plainTextFormattedCitation":"[19]","previouslyFormattedCitation":"[19]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r w:rsidRPr="0073697F">
        <w:rPr>
          <w:rFonts w:ascii="Times New Roman" w:hAnsi="Times New Roman" w:cs="Times New Roman"/>
          <w:noProof/>
          <w:sz w:val="24"/>
          <w:szCs w:val="24"/>
        </w:rPr>
        <w:t xml:space="preserve">and Jolliffe et al., (2018) </w:t>
      </w:r>
      <w:r w:rsidRPr="0073697F">
        <w:rPr>
          <w:rFonts w:ascii="Times New Roman" w:hAnsi="Times New Roman" w:cs="Times New Roman"/>
          <w:sz w:val="24"/>
          <w:szCs w:val="24"/>
        </w:rPr>
        <w:t xml:space="preserve">with a sample of 725 participants with respiratory infection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{"citationItems":[{"id":"ITEM-1","itemData":{"DOI":"10.1017/S000711451800209X","ISSN":"14752662","PMID":"30132432","abstract":"SNP in the vitamin D receptor (VDR) gene is associated with risk of lower respiratory infections. The influence of genetic variation in the vitamin D pathway resulting in susceptibility to upper respiratory infections (URI) has not been investigated. We evaluated the influence of thirty-three SNP in eleven vitamin D pathway genes (DBP, DHCR7, RXRA, CYP2R1, CYP27B1, CYP24A1, CYP3A4, CYP27A1, LRP2, CUBN and VDR) resulting in URI risk in 725 adults in London, UK, using an additive model with adjustment for potential confounders and correction for multiple comparisons. Significant associations in this cohort were investigated in a validation cohort of 737 children in Manchester, UK. In all, three SNP in VDR (rs4334089, rs11568820 and rs7970314) and one SNP in CYP3A4 (rs2740574) were associated with risk of URI in the discovery cohort after adjusting for potential confounders and correcting for multiple comparisons (adjusted incidence rate ratio per additional minor allele ≥1·15, P for trend ≤0·030). This association was replicated for rs4334089 in the validation cohort (P for trend=0·048) but not for rs11568820, rs7970314 or rs2740574. Carriage of the minor allele of the rs4334089 SNP in VDR was associated with increased susceptibility to URI in children and adult cohorts in the United Kingdom.","author":[{"dropping-particle":"","family":"Jolliffe","given":"David A.","non-dropping-particle":"","parse-names":false,"suffix":""},{"dropping-particle":"","family":"Greiller","given":"Claire L.","non-dropping-particle":"","parse-names":false,"suffix":""},{"dropping-particle":"","family":"Mein","given":"Charles A.","non-dropping-particle":"","parse-names":false,"suffix":""},{"dropping-particle":"","family":"Hoti","given":"Mimoza","non-dropping-particle":"","parse-names":false,"suffix":""},{"dropping-particle":"","family":"Bakhsoliani","given":"Eteri","non-dropping-particle":"","parse-names":false,"suffix":""},{"dropping-particle":"","family":"Telcian","given":"Aurica G.","non-dropping-particle":"","parse-names":false,"suffix":""},{"dropping-particle":"","family":"Simpson","given":"Angela","non-dropping-particle":"","parse-names":false,"suffix":""},{"dropping-particle":"","family":"Barnes","given":"Neil C.","non-dropping-particle":"","parse-names":false,"suffix":""},{"dropping-particle":"","family":"Curtin","given":"John A.","non-dropping-particle":"","parse-names":false,"suffix":""},{"dropping-particle":"","family":"Custovic","given":"Adnan","non-dropping-particle":"","parse-names":false,"suffix":""},{"dropping-particle":"","family":"Johnston","given":"Sebastian L.","non-dropping-particle":"","parse-names":false,"suffix":""},{"dropping-particle":"","family":"Griffiths","given":"Christopher J.","non-dropping-particle":"","parse-names":false,"suffix":""},{"dropping-particle":"","family":"Walton","given":"Robert T.","non-dropping-particle":"","parse-names":false,"suffix":""},{"dropping-particle":"","family":"Martineau","given":"Adrian R.","non-dropping-particle":"","parse-names":false,"suffix":""}],"container-title":"British Journal of Nutrition","id":"ITEM-1","issue":"8","issued":{"date-parts":[["2018"]]},"page":"881-890","title":"Vitamin D receptor genotype influences risk of upper respiratory infection","type":"article-journal","volume":"120"},"uris":["http://www.mendeley.com/documents/?uuid=021b93f8-7c0a-46b5-b943-387fcd7ae241"]}],"mendeley":{"formattedCitation":"[20]","plainTextFormattedCitation":"[20]","previouslyFormattedCitation":"[20]"},"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[20]</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r w:rsidRPr="0073697F">
        <w:rPr>
          <w:rFonts w:ascii="Times New Roman" w:hAnsi="Times New Roman" w:cs="Times New Roman"/>
          <w:noProof/>
          <w:sz w:val="24"/>
          <w:szCs w:val="24"/>
        </w:rPr>
        <w:t xml:space="preserve"> In Febriza et al.'s research, (2020) sample was 30 mice</w:t>
      </w:r>
      <w:r w:rsidRPr="0073697F">
        <w:rPr>
          <w:rFonts w:ascii="Times New Roman" w:hAnsi="Times New Roman" w:cs="Times New Roman"/>
          <w:sz w:val="24"/>
          <w:szCs w:val="24"/>
        </w:rPr>
        <w:t xml:space="preserv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{"citationItems":[{"id":"ITEM-1","itemData":{"DOI":"10.2174/1874285802014010065","ISBN":"1874285802","ISSN":"1874-2858","abstract":"Background and aim: The prevalence of typhoid fever is reportedly high, especially in Asia. When a pathogen enters the human body, there are markers in the form of molecules that will be known by the innate immune system. Specific molecular markers of gram negative bacteria, which are Lipopolysaccharides (LPS) and Toll-Like receptors-4 will interact with LPS. The binding between LPS and TLR-4 will give rise to activation signals that will activate innate immune cells. Immune cells will release a number of proinflammatory cytokines, such as TNF-α, IL-1, and IL-6. While Vitamin D Receptors (VDR) are expressed in large amounts in tumor tissue and infected cells. This study aimed to prove the role of IL-6, TNF-α, and VDR in inhibiting bacterial growth in mice that have been induced by S.Typhi. Methods: This research was a real experimental pre-post test design to investigate the level of IL-6, TNF-α and VDR in suppressing the growth of bacteria in the peritoneal fluid of S. Typhi, male, mice BALB/c. Mice were divided into three groups comprised of 10 mice each. All mice in groups A and B were intraperitoneally inoculated with S. Typhi strain Thy1 in study day 0. Group A was treated with antibiotic Levofloxacine, on study day 4th . Another study group, group B, was used as a placebo and received aquades on study day 4th. While group C as a control was not inoculated with S. Typhi. Blood samples from three groups for the calculation of serum Il-6, TNF-α, and VDR were collected. This examination was taken four times; at baseline, 4th day, 10th day, and 30th day. For the calculation of bacterial colony, peritoneal fluid retrieval was collected three times, which is on 4th day, 10th day, and 30th day. Results: A repeated measure ANOVA in group A (antibiotic) and group B (placebo) group showed that mean IL-6, TNF-α, and VDR level differed statistically significant between times (p-value 0.000). There was a strong negative correlation between bacterial colony count and VDR level, which was statistically significant in both groups (group A; r =-0.875, p-value = 0.000 vs group B; r =-0.470, p-value = 0.002). IL-6 and TNF-α didn't give significant statistical correlation with bacterial colony count. Conclusion: VDR, IL-6, and TNF-α play an important role in killing bacteria. From the results of this study, IL-6 level is related to the number of bacterial colonies, the lower the IL-6 level, the less the number of bacterial colonies. Similarly, TNF-α levels have a posi…","author":[{"dropping-particle":"","family":"Febriza","given":"Ami","non-dropping-particle":"","parse-names":false,"suffix":""},{"dropping-particle":"","family":"Natzir","given":"Rosdiana","non-dropping-particle":"","parse-names":false,"suffix":""},{"dropping-particle":"","family":"Hatta","given":"Mochammad","non-dropping-particle":"","parse-names":false,"suffix":""},{"dropping-particle":"","family":"As'ad","given":"Suryani","non-dropping-particle":"","parse-names":false,"suffix":""},{"dropping-particle":"","family":"Budu","given":".","non-dropping-particle":"","parse-names":false,"suffix":""},{"dropping-particle":"","family":"Kaelan","given":"Cahyono","non-dropping-particle":"","parse-names":false,"suffix":""},{"dropping-particle":"","family":"Kasim","given":"Vivien Novarina","non-dropping-particle":"","parse-names":false,"suffix":""},{"dropping-particle":"","family":"Idrus","given":"Hasta Handayani","non-dropping-particle":"","parse-names":false,"suffix":""}],"container-title":"The Open Microbiology Journal","id":"ITEM-1","issue":"1","issued":{"date-parts":[["2020"]]},"page":"65-71","title":"The Role of IL-6, TNF-α, and VDR in Inhibiting the Growth of Salmonella Typhi: in vivo Study","type":"article-journal","volume":"14"},"uris":["http://www.mendeley.com/documents/?uuid=52b750bb-0879-49a9-884e-249c06ff3123"]}],"mendeley":{"formattedCitation":"[21]","plainTextFormattedCitation":"[21]","previouslyFormattedCitation":"[21]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the research of </w:t>
      </w:r>
      <w:proofErr w:type="spellStart"/>
      <w:r w:rsidRPr="0073697F">
        <w:rPr>
          <w:rFonts w:ascii="Times New Roman" w:hAnsi="Times New Roman" w:cs="Times New Roman"/>
          <w:sz w:val="24"/>
          <w:szCs w:val="24"/>
        </w:rPr>
        <w:t>Wardani</w:t>
      </w:r>
      <w:proofErr w:type="spellEnd"/>
      <w:r w:rsidRPr="0073697F">
        <w:rPr>
          <w:rFonts w:ascii="Times New Roman" w:hAnsi="Times New Roman" w:cs="Times New Roman"/>
          <w:sz w:val="24"/>
          <w:szCs w:val="24"/>
        </w:rPr>
        <w:t xml:space="preserve"> et al., (2021), the sample was 39 people with HIV infection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{"citationItems":[{"id":"ITEM-1","itemData":{"DOI":"10.1016/j.amsu.2021.02.020","ISSN":"20490801","abstract":"Background: HIV-AIDS patients typically have hypovitaminosis D. Vitamin D is a key mediator in inflammatory and infectious diseases, which VDR mediates its biological effect. High-mobility group box 1 protein (HMGB1) modulates HIV-1 replication in vitro. Vitamin D played a role in inhibiting HMGB1 secretion in the animal study. Objectives: This study aimed to examine differences and correlation of vitamin D receptor and HMGB1 protein levels in HIV patients with mild and severe immunodeficiency and healthy control participants. Methods: This study using a cross-sectional design conducted at Volunteer Counseling and Testing (VCT) Clinic in Mataram, West Nusa Tenggara, Indonesia, from January to June 2020. Three groups of study participants were classified as HIV patients with severe immune deficiency (SID), HIV patients with mild immune deficiency (MID), and healthy controls (HC). Results: Mean level of vitamin D receptor in SID HIV group was 25.89 ± 3.95 ng/ml, lower than those in MID-HIV group; 33.72 ± 1.69 ng/ml and in HC group; 50.65 ± 3.64 ng/ml. Mean levels of HMGB1 protein in the SID HIV group were 3119.81 ± 292.38 pg/ml higher than those in the MID HIV group 1553.55 ± 231.08 pg/ml and HC 680.82 ± 365.51 pg/ml. There was a significant and strong negative correlation (r = −0.932) between vitamin D receptor and HMGB1 levels (p &lt; 0.01). Conclusions: Strong negative correlation between VDR and HMGB1 in different immunodeficiency statuses suggesting an important role of vitamin D in inflammation control in HIV infection. However, it needs to be confirmed in a further prospective study.","author":[{"dropping-particle":"","family":"Wardani","given":"Indah Sapta","non-dropping-particle":"","parse-names":false,"suffix":""},{"dropping-particle":"","family":"Hatta","given":"Mochammad","non-dropping-particle":"","parse-names":false,"suffix":""},{"dropping-particle":"","family":"Mubin","given":"Risna Halim","non-dropping-particle":"","parse-names":false,"suffix":""},{"dropping-particle":"","family":"Bukhari","given":"Agussalim","non-dropping-particle":"","parse-names":false,"suffix":""},{"dropping-particle":"","family":"Mulyanto","given":"","non-dropping-particle":"","parse-names":false,"suffix":""},{"dropping-particle":"","family":"Massi","given":"Muhammad Nasrum","non-dropping-particle":"","parse-names":false,"suffix":""},{"dropping-particle":"","family":"Djaharuddin","given":"Irawaty","non-dropping-particle":"","parse-names":false,"suffix":""},{"dropping-particle":"","family":"Bahar","given":"Burhanuddin","non-dropping-particle":"","parse-names":false,"suffix":""},{"dropping-particle":"","family":"Aminuddin","given":"","non-dropping-particle":"","parse-names":false,"suffix":""},{"dropping-particle":"","family":"Wahyuni","given":"Siti","non-dropping-particle":"","parse-names":false,"suffix":""}],"container-title":"Annals of Medicine and Surgery","id":"ITEM-1","issue":"February","issued":{"date-parts":[["2021"]]},"page":"102174","publisher":"Elsevier Ltd","title":"Serum vitamin D receptor and High Mobility Group Box-1 (HMGB1) levels in HIV-infected patients with different immunodeficiency status: A cross-sectional study","type":"article-journal","volume":"63"},"uris":["http://www.mendeley.com/documents/?uuid=c3b00a60-5204-426b-a901-6c12d94ddbef"]}],"mendeley":{"formattedCitation":"[22]","plainTextFormattedCitation":"[22]","previouslyFormattedCitation":"[22]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Another research was by Abdel-Mohsen et al., (2018) with sampling 90 people with healthy subjects and Hepatitis C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{"citationItems":[{"id":"ITEM-1","itemData":{"DOI":"10.1097/MD.0000000000010172","ISBN":"0000000000","ISSN":"15365964","PMID":"29561429","abstract":"The aims of this study were to investigate the interplay between autophagy and apoptosis and to investigate the association between both of autophagy and apoptosis and vitamin D and its receptor in hepatitis C virus (HCV) viral infection and its implication in the progression into hepatocellular carcinoma (HCC). A cross-sectional study where serum levels of microtubule-associated protein 1A/1B-light chain 3 (LC3); marker of autophagy, caspase-3; marker of apoptosis, vitamin D3 and vitamin D receptor (VDR) were measured in healthy subjects as well as HCV and HCV-HCC patients using enzyme-linked immunosorbent assay technique. Collectively, the liver profile revealed hepatic dysfunctions in HCV patients with or without HCC. A significant reduction in the serum concentration levels LC3 and caspase-3 were observed referring to the down regulation of autophagy and host-mediated apoptosis in HCV patients with or without HCC. Deficiency of vitamin D and decreased levels of its receptor were observed in HCV and HCV-HCC patients. The perturbation in vitamin D/VDR axis, which modulates both of autophagy and apoptosis in HCV infection, may point out to its involvement and implication in the pathogenesis of HCV infection and the development of HCV-related HCC. Therefore, supplementation with vitamin D may not be the only solution to restore the vital biological functions of vitamin D but VDR-targeted therapy may be of great importance in this respect.","author":[{"dropping-particle":"","family":"Abdel-Mohsen","given":"Mohamed Ahmed","non-dropping-particle":"","parse-names":false,"suffix":""},{"dropping-particle":"","family":"El-Braky","given":"Ahlam Abd Allah","non-dropping-particle":"","parse-names":false,"suffix":""},{"dropping-particle":"","family":"Ghazal","given":"Abeer Abd El Rahim","non-dropping-particle":"","parse-names":false,"suffix":""},{"dropping-particle":"","family":"Shamseya","given":"Mohammed Mohammed","non-dropping-particle":"","parse-names":false,"suffix":""}],"container-title":"Medicine (United States)","id":"ITEM-1","issue":"12","issued":{"date-parts":[["2018"]]},"title":"Autophagy, apoptosis, Vitamin D, and Vitamin D receptor in hepatocellular carcinoma associated with hepatitis C virus","type":"article-journal","volume":"97"},"uris":["http://www.mendeley.com/documents/?uuid=9b688b7b-0ce8-4f8d-b34e-72eb1fb97bab"]}],"mendeley":{"formattedCitation":"[23]","plainTextFormattedCitation":"[23]","previouslyFormattedCitation":"[23]"},"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[23]</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the research by </w:t>
      </w:r>
      <w:proofErr w:type="spellStart"/>
      <w:r w:rsidRPr="0073697F">
        <w:rPr>
          <w:rFonts w:ascii="Times New Roman" w:hAnsi="Times New Roman" w:cs="Times New Roman"/>
          <w:sz w:val="24"/>
          <w:szCs w:val="24"/>
        </w:rPr>
        <w:t>Guzeeva</w:t>
      </w:r>
      <w:proofErr w:type="spellEnd"/>
      <w:r w:rsidRPr="0073697F">
        <w:rPr>
          <w:rFonts w:ascii="Times New Roman" w:hAnsi="Times New Roman" w:cs="Times New Roman"/>
          <w:sz w:val="24"/>
          <w:szCs w:val="24"/>
        </w:rPr>
        <w:t xml:space="preserve"> et al., (2019) the sample was 51 adolescents with helicobacter pylori infection (HP)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Guzeeva","given":"Olga","non-dropping-particle":"","parse-names":false,"suffix":""},{"dropping-particle":"","family":"Melnikova","given":"Irina","non-dropping-particle":"","parse-names":false,"suffix":""},{"dropping-particle":"","family":"Larionova","given":"Valentina","non-dropping-particle":"","parse-names":false,"suffix":""},{"dropping-particle":"","family":"Novikova","given":"Valeria","non-dropping-particle":"","parse-names":false,"suffix":""},{"dropping-particle":"","family":"Diana","given":"Kuzmina","non-dropping-particle":"","parse-names":false,"suffix":""}],"id":"ITEM-1","issue":"Suppl 3","issued":{"date-parts":[["2019"]]},"page":"2019","title":"Level Of 25(Oh)-Vitamin D And Vitamin D Receptor (VDR) Gene Polymorphisms In Adolescents With Chronic Gastroduodenitis","type":"article-journal","volume":"25"},"uris":["http://www.mendeley.com/documents/?uuid=d24c7618-3a4e-444c-b88f-9430f70fb0b8"]}],"mendeley":{"formattedCitation":"[24]","plainTextFormattedCitation":"[24]","previouslyFormattedCitation":"[24]"},"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[24]</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O'Brien's (2018) research involved a sample of 1070 cases with non-Hispanic white female respondents.</w:t>
      </w:r>
    </w:p>
    <w:p w14:paraId="36B74B00" w14:textId="5086EB79" w:rsidR="0073697F" w:rsidRPr="0073697F" w:rsidRDefault="0073697F" w:rsidP="0073697F">
      <w:pPr>
        <w:pStyle w:val="ListParagraph"/>
        <w:tabs>
          <w:tab w:val="left" w:pos="1134"/>
        </w:tabs>
        <w:spacing w:after="0"/>
        <w:ind w:left="426"/>
        <w:jc w:val="both"/>
        <w:rPr>
          <w:rFonts w:ascii="Times New Roman" w:hAnsi="Times New Roman" w:cs="Times New Roman"/>
          <w:b/>
          <w:i/>
          <w:sz w:val="24"/>
          <w:szCs w:val="24"/>
        </w:rPr>
      </w:pPr>
      <w:r w:rsidRPr="0073697F">
        <w:rPr>
          <w:rFonts w:ascii="Times New Roman" w:hAnsi="Times New Roman" w:cs="Times New Roman"/>
          <w:sz w:val="24"/>
          <w:szCs w:val="24"/>
        </w:rPr>
        <w:lastRenderedPageBreak/>
        <w:t xml:space="preserve"> </w:t>
      </w:r>
      <w:r w:rsidRPr="0073697F">
        <w:rPr>
          <w:rFonts w:ascii="Times New Roman" w:hAnsi="Times New Roman" w:cs="Times New Roman"/>
          <w:b/>
          <w:i/>
          <w:sz w:val="24"/>
          <w:szCs w:val="24"/>
        </w:rPr>
        <w:t>Results</w:t>
      </w:r>
    </w:p>
    <w:p w14:paraId="1214FBC6" w14:textId="6304552D" w:rsidR="0073697F" w:rsidRPr="0073697F" w:rsidRDefault="0073697F" w:rsidP="0073697F">
      <w:pPr>
        <w:pStyle w:val="ListParagraph"/>
        <w:tabs>
          <w:tab w:val="left" w:pos="1134"/>
        </w:tabs>
        <w:spacing w:after="0"/>
        <w:ind w:left="426"/>
        <w:jc w:val="both"/>
        <w:rPr>
          <w:rFonts w:ascii="Times New Roman" w:hAnsi="Times New Roman" w:cs="Times New Roman"/>
          <w:sz w:val="24"/>
          <w:szCs w:val="24"/>
        </w:rPr>
      </w:pPr>
      <w:r w:rsidRPr="0073697F">
        <w:rPr>
          <w:rFonts w:ascii="Times New Roman" w:hAnsi="Times New Roman" w:cs="Times New Roman"/>
          <w:sz w:val="24"/>
          <w:szCs w:val="24"/>
        </w:rPr>
        <w:tab/>
      </w:r>
      <w:r w:rsidRPr="0073697F">
        <w:rPr>
          <w:rFonts w:ascii="Times New Roman" w:hAnsi="Times New Roman" w:cs="Times New Roman"/>
          <w:noProof/>
          <w:sz w:val="24"/>
          <w:szCs w:val="24"/>
        </w:rPr>
        <w:t xml:space="preserve"> </w:t>
      </w:r>
      <w:r w:rsidRPr="0073697F">
        <w:rPr>
          <w:rFonts w:ascii="Times New Roman" w:hAnsi="Times New Roman" w:cs="Times New Roman"/>
          <w:sz w:val="24"/>
          <w:szCs w:val="24"/>
        </w:rPr>
        <w:tab/>
        <w:t xml:space="preserve">Several studies have been conducted to evaluate the important role of VDR in lowering the risk of infection in order to improve the quality of nursing services. There are 11 articles that meet the inclusion and exclusion criteria.  In </w:t>
      </w:r>
      <w:proofErr w:type="gramStart"/>
      <w:r w:rsidRPr="0073697F">
        <w:rPr>
          <w:rFonts w:ascii="Times New Roman" w:hAnsi="Times New Roman" w:cs="Times New Roman"/>
          <w:sz w:val="24"/>
          <w:szCs w:val="24"/>
        </w:rPr>
        <w:t>a research</w:t>
      </w:r>
      <w:proofErr w:type="gramEnd"/>
      <w:r w:rsidRPr="0073697F">
        <w:rPr>
          <w:rFonts w:ascii="Times New Roman" w:hAnsi="Times New Roman" w:cs="Times New Roman"/>
          <w:sz w:val="24"/>
          <w:szCs w:val="24"/>
        </w:rPr>
        <w:t xml:space="preserve"> by Huss et al., (2019), VDR acts as a prognostic factor in reducing the risk of death from breast cancer by inhibiting the proliferation of cancer cells. Another research by </w:t>
      </w:r>
      <w:proofErr w:type="spellStart"/>
      <w:r w:rsidRPr="0073697F">
        <w:rPr>
          <w:rFonts w:ascii="Times New Roman" w:hAnsi="Times New Roman" w:cs="Times New Roman"/>
          <w:sz w:val="24"/>
          <w:szCs w:val="24"/>
        </w:rPr>
        <w:t>Febriza</w:t>
      </w:r>
      <w:proofErr w:type="spellEnd"/>
      <w:r w:rsidRPr="0073697F">
        <w:rPr>
          <w:rFonts w:ascii="Times New Roman" w:hAnsi="Times New Roman" w:cs="Times New Roman"/>
          <w:sz w:val="24"/>
          <w:szCs w:val="24"/>
        </w:rPr>
        <w:t xml:space="preserve"> et al., (2020) proved that VDR kills bacteria in typhoid fever.</w:t>
      </w:r>
    </w:p>
    <w:p w14:paraId="4A0BA4A9" w14:textId="77777777" w:rsidR="0073697F" w:rsidRPr="0073697F" w:rsidRDefault="0073697F" w:rsidP="0073697F">
      <w:pPr>
        <w:pStyle w:val="ListParagraph"/>
        <w:tabs>
          <w:tab w:val="left" w:pos="1134"/>
        </w:tabs>
        <w:spacing w:after="0"/>
        <w:ind w:left="426"/>
        <w:jc w:val="both"/>
        <w:rPr>
          <w:rFonts w:ascii="Times New Roman" w:hAnsi="Times New Roman" w:cs="Times New Roman"/>
          <w:noProof/>
          <w:sz w:val="24"/>
          <w:szCs w:val="24"/>
        </w:rPr>
      </w:pPr>
      <w:r w:rsidRPr="0073697F">
        <w:rPr>
          <w:rFonts w:ascii="Times New Roman" w:hAnsi="Times New Roman" w:cs="Times New Roman"/>
          <w:noProof/>
          <w:sz w:val="24"/>
          <w:szCs w:val="24"/>
        </w:rPr>
        <w:tab/>
        <w:t>A similar research by Zhao et al.,( (2018) suggests that VDR plays a protective role to overcome bacterial challenges, stopping or delaying the progression of Oral Lichen Planus (OLP). Furthermore, Sun &amp; Zhang's (2020) research suggests that VDR plays a role in regulating intestinal homeostasis by preventing the invasion of pathogenic bacteria, inhibiting inflammation, and maintaining barrier function. Furthermore, in the research by Wardani et al., (2021) VDR became a strong immunomodulator and antimicrobial effect against HIV infection.</w:t>
      </w:r>
    </w:p>
    <w:p w14:paraId="3BB8B70B" w14:textId="77777777" w:rsidR="0073697F" w:rsidRPr="0073697F" w:rsidRDefault="0073697F" w:rsidP="0073697F">
      <w:pPr>
        <w:pStyle w:val="ListParagraph"/>
        <w:tabs>
          <w:tab w:val="left" w:pos="1134"/>
        </w:tabs>
        <w:spacing w:after="0"/>
        <w:ind w:left="426"/>
        <w:jc w:val="both"/>
        <w:rPr>
          <w:rFonts w:ascii="Times New Roman" w:hAnsi="Times New Roman" w:cs="Times New Roman"/>
          <w:noProof/>
          <w:sz w:val="24"/>
          <w:szCs w:val="24"/>
        </w:rPr>
      </w:pPr>
      <w:r w:rsidRPr="0073697F">
        <w:rPr>
          <w:rFonts w:ascii="Times New Roman" w:hAnsi="Times New Roman" w:cs="Times New Roman"/>
          <w:noProof/>
          <w:sz w:val="24"/>
          <w:szCs w:val="24"/>
        </w:rPr>
        <w:tab/>
        <w:t>Research by Jolliffe et al., (2018) suggests that VDR plays a role in mediating protection against upper respiratory tract infections by supporting antiviral responses. The result of Abdel-Mohsen et al.'s (2018) research showed that VDR acts as an anti-inflammatory, antiproliferative, and antitumorgenesis in Hepatitis C. Research by M. Yu et al., (2021) found that VDR can relieve intestinal fibrosis in Crohn's disease by inhibiting Epithelial-mesenchymal transition (EMT) through regulation of epithelial mitochondrial function. Another research by Guzeeva et al., (2019) proved that VDR helps kill bacteria and reduce infection due to Helicobacter Pylori in chronic gastroduodenitis. O'Brien's research, (2018) also proved that CpGs methylation in vitamin D-related genes might interact with 25(OH)D to lower breast cancer risk.</w:t>
      </w:r>
    </w:p>
    <w:p w14:paraId="3852FE0F" w14:textId="77777777" w:rsidR="0073697F" w:rsidRPr="0073697F" w:rsidRDefault="0073697F" w:rsidP="0073697F">
      <w:pPr>
        <w:pStyle w:val="ListParagraph"/>
        <w:tabs>
          <w:tab w:val="left" w:pos="1134"/>
        </w:tabs>
        <w:spacing w:after="0"/>
        <w:ind w:left="426"/>
        <w:jc w:val="both"/>
        <w:rPr>
          <w:rFonts w:ascii="Times New Roman" w:hAnsi="Times New Roman" w:cs="Times New Roman"/>
          <w:noProof/>
          <w:sz w:val="24"/>
          <w:szCs w:val="24"/>
        </w:rPr>
      </w:pPr>
      <w:r w:rsidRPr="0073697F">
        <w:rPr>
          <w:rFonts w:ascii="Times New Roman" w:hAnsi="Times New Roman" w:cs="Times New Roman"/>
          <w:noProof/>
          <w:sz w:val="24"/>
          <w:szCs w:val="24"/>
        </w:rPr>
        <w:tab/>
      </w:r>
    </w:p>
    <w:p w14:paraId="62E94FDA" w14:textId="77777777" w:rsidR="0073697F" w:rsidRPr="0073697F" w:rsidRDefault="0073697F" w:rsidP="0073697F">
      <w:pPr>
        <w:pStyle w:val="ListParagraph"/>
        <w:numPr>
          <w:ilvl w:val="0"/>
          <w:numId w:val="7"/>
        </w:numPr>
        <w:tabs>
          <w:tab w:val="left" w:pos="1134"/>
        </w:tabs>
        <w:spacing w:after="0"/>
        <w:jc w:val="both"/>
        <w:rPr>
          <w:rFonts w:ascii="Times New Roman" w:hAnsi="Times New Roman" w:cs="Times New Roman"/>
          <w:b/>
          <w:noProof/>
          <w:sz w:val="24"/>
          <w:szCs w:val="24"/>
        </w:rPr>
      </w:pPr>
      <w:r w:rsidRPr="0073697F">
        <w:rPr>
          <w:rFonts w:ascii="Times New Roman" w:hAnsi="Times New Roman" w:cs="Times New Roman"/>
          <w:b/>
          <w:noProof/>
          <w:sz w:val="24"/>
          <w:szCs w:val="24"/>
        </w:rPr>
        <w:t xml:space="preserve">Discussion </w:t>
      </w:r>
    </w:p>
    <w:p w14:paraId="2BA94633" w14:textId="77777777" w:rsidR="0073697F" w:rsidRPr="0073697F" w:rsidRDefault="0073697F" w:rsidP="0073697F">
      <w:pPr>
        <w:pStyle w:val="ListParagraph"/>
        <w:tabs>
          <w:tab w:val="left" w:pos="1134"/>
        </w:tabs>
        <w:spacing w:after="0"/>
        <w:ind w:left="360"/>
        <w:jc w:val="both"/>
        <w:rPr>
          <w:rFonts w:ascii="Times New Roman" w:hAnsi="Times New Roman" w:cs="Times New Roman"/>
          <w:b/>
          <w:i/>
          <w:noProof/>
          <w:sz w:val="24"/>
          <w:szCs w:val="24"/>
        </w:rPr>
      </w:pPr>
      <w:r w:rsidRPr="0073697F">
        <w:rPr>
          <w:rFonts w:ascii="Times New Roman" w:hAnsi="Times New Roman" w:cs="Times New Roman"/>
          <w:b/>
          <w:i/>
          <w:noProof/>
          <w:sz w:val="24"/>
          <w:szCs w:val="24"/>
        </w:rPr>
        <w:t>Method</w:t>
      </w:r>
    </w:p>
    <w:p w14:paraId="17F6CA80" w14:textId="77777777" w:rsidR="0073697F" w:rsidRPr="0073697F" w:rsidRDefault="0073697F" w:rsidP="0073697F">
      <w:pPr>
        <w:spacing w:after="0"/>
        <w:ind w:left="426" w:firstLine="708"/>
        <w:jc w:val="both"/>
        <w:rPr>
          <w:rFonts w:ascii="Times New Roman" w:hAnsi="Times New Roman" w:cs="Times New Roman"/>
          <w:sz w:val="24"/>
          <w:szCs w:val="24"/>
        </w:rPr>
      </w:pPr>
      <w:r w:rsidRPr="0073697F">
        <w:rPr>
          <w:rFonts w:ascii="Times New Roman" w:hAnsi="Times New Roman" w:cs="Times New Roman"/>
          <w:sz w:val="24"/>
          <w:szCs w:val="24"/>
        </w:rPr>
        <w:t>Based on the reviewed articles, cross-sectional is the most widely used method, where the design of this study was carried out to determine the role of VDR in several diseases by observing several sample groups at the same time.</w:t>
      </w:r>
    </w:p>
    <w:p w14:paraId="71C35E46" w14:textId="77777777" w:rsidR="0073697F" w:rsidRPr="0073697F" w:rsidRDefault="0073697F" w:rsidP="0073697F">
      <w:pPr>
        <w:spacing w:after="0"/>
        <w:ind w:left="426" w:firstLine="708"/>
        <w:jc w:val="both"/>
        <w:rPr>
          <w:rFonts w:ascii="Times New Roman" w:hAnsi="Times New Roman" w:cs="Times New Roman"/>
          <w:sz w:val="24"/>
          <w:szCs w:val="24"/>
        </w:rPr>
      </w:pPr>
      <w:r w:rsidRPr="0073697F">
        <w:rPr>
          <w:rFonts w:ascii="Times New Roman" w:hAnsi="Times New Roman" w:cs="Times New Roman"/>
          <w:sz w:val="24"/>
          <w:szCs w:val="24"/>
        </w:rPr>
        <w:t xml:space="preserve">Cross-sectional study design is an observational design that involves and looks at data from the population at one particular point in time to measure the results and exposure of research subjects and at the same time be the most relevant research in understanding the prevalence of a disease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chest.2020.03.012","ISSN":"0012-3692","author":[{"dropping-particle":"","family":"Wang","given":"Xiaofeng","non-dropping-particle":"","parse-names":false,"suffix":""},{"dropping-particle":"","family":"Cheng","given":"Zhenshun","non-dropping-particle":"","parse-names":false,"suffix":""}],"container-title":"CHEST","id":"ITEM-1","issue":"1","issued":{"date-parts":[["2020"]]},"page":"S65-S71","publisher":"Elsevier Inc","title":"Cross-Sectional Studies","type":"article-journal","volume":"158"},"uris":["http://www.mendeley.com/documents/?uuid=7f418917-753f-4c0d-8b62-675bf172b77c"]}],"mendeley":{"formattedCitation":"[25]","plainTextFormattedCitation":"[25]","previouslyFormattedCitation":"[25]"},"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[25]</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Thus, it is the most suitable design used to evaluate the role of VDR in several diseases</w:t>
      </w:r>
    </w:p>
    <w:p w14:paraId="6F049219" w14:textId="77777777" w:rsidR="0073697F" w:rsidRPr="0073697F" w:rsidRDefault="0073697F" w:rsidP="0073697F">
      <w:pPr>
        <w:spacing w:after="0"/>
        <w:ind w:left="426" w:firstLine="708"/>
        <w:jc w:val="both"/>
        <w:rPr>
          <w:rFonts w:ascii="Times New Roman" w:hAnsi="Times New Roman" w:cs="Times New Roman"/>
          <w:sz w:val="24"/>
          <w:szCs w:val="24"/>
        </w:rPr>
      </w:pPr>
    </w:p>
    <w:p w14:paraId="1D65ADDD" w14:textId="77777777" w:rsidR="0073697F" w:rsidRPr="0073697F" w:rsidRDefault="0073697F" w:rsidP="0073697F">
      <w:pPr>
        <w:spacing w:after="0"/>
        <w:ind w:firstLine="426"/>
        <w:jc w:val="both"/>
        <w:rPr>
          <w:rFonts w:ascii="Times New Roman" w:hAnsi="Times New Roman" w:cs="Times New Roman"/>
          <w:sz w:val="24"/>
          <w:szCs w:val="24"/>
        </w:rPr>
      </w:pPr>
      <w:r w:rsidRPr="0073697F">
        <w:rPr>
          <w:rFonts w:ascii="Times New Roman" w:hAnsi="Times New Roman" w:cs="Times New Roman"/>
          <w:b/>
          <w:i/>
          <w:sz w:val="24"/>
          <w:szCs w:val="24"/>
        </w:rPr>
        <w:t xml:space="preserve">Sample </w:t>
      </w:r>
    </w:p>
    <w:p w14:paraId="60CBB699" w14:textId="77777777" w:rsidR="0073697F" w:rsidRPr="0073697F" w:rsidRDefault="0073697F" w:rsidP="0073697F">
      <w:pPr>
        <w:spacing w:after="0"/>
        <w:ind w:left="426" w:firstLine="708"/>
        <w:jc w:val="both"/>
        <w:rPr>
          <w:rFonts w:ascii="Times New Roman" w:hAnsi="Times New Roman" w:cs="Times New Roman"/>
          <w:sz w:val="24"/>
          <w:szCs w:val="24"/>
        </w:rPr>
      </w:pPr>
      <w:r w:rsidRPr="0073697F">
        <w:rPr>
          <w:rFonts w:ascii="Times New Roman" w:hAnsi="Times New Roman" w:cs="Times New Roman"/>
          <w:sz w:val="24"/>
          <w:szCs w:val="24"/>
        </w:rPr>
        <w:t xml:space="preserve">From the literature review conducted, it was found that the largest number of samples that are often used on average is &lt;30 - &lt;90 subjects. This is consistent with the statement that </w:t>
      </w:r>
      <w:r w:rsidRPr="0073697F">
        <w:rPr>
          <w:rFonts w:ascii="Times New Roman" w:hAnsi="Times New Roman" w:cs="Times New Roman"/>
          <w:sz w:val="24"/>
          <w:szCs w:val="24"/>
        </w:rPr>
        <w:lastRenderedPageBreak/>
        <w:t xml:space="preserve">cross-sectional using a sample selected from the available population has potential relevance to the research question and the sample can be categorized in several groups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{"citationItems":[{"id":"ITEM-1","itemData":{"DOI":"10.1111/aogs.13331","author":[{"dropping-particle":"","family":"Kesmodel","given":"Ulrik S","non-dropping-particle":"","parse-names":false,"suffix":""}],"id":"ITEM-1","issued":{"date-parts":[["2018"]]},"page":"388-393","title":"Cross-sectional studies – what are they good for ?","type":"article-journal","volume":"97"},"uris":["http://www.mendeley.com/documents/?uuid=f74ff75a-2d7b-449f-93ce-1436e4abb8b8"]}],"mendeley":{"formattedCitation":"[26]","plainTextFormattedCitation":"[26]","previouslyFormattedCitation":"[26]"},"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[26]</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chest.2020.03.012","ISSN":"0012-3692","author":[{"dropping-particle":"","family":"Wang","given":"Xiaofeng","non-dropping-particle":"","parse-names":false,"suffix":""},{"dropping-particle":"","family":"Cheng","given":"Zhenshun","non-dropping-particle":"","parse-names":false,"suffix":""}],"container-title":"CHEST","id":"ITEM-1","issue":"1","issued":{"date-parts":[["2020"]]},"page":"S65-S71","publisher":"Elsevier Inc","title":"Cross-Sectional Studies","type":"article-journal","volume":"158"},"uris":["http://www.mendeley.com/documents/?uuid=7f418917-753f-4c0d-8b62-675bf172b77c"]}],"mendeley":{"formattedCitation":"[25]","plainTextFormattedCitation":"[25]","previouslyFormattedCitation":"[25]"},"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[25]</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0228F815" w14:textId="77777777" w:rsidR="0073697F" w:rsidRPr="0073697F" w:rsidRDefault="0073697F" w:rsidP="0073697F">
      <w:pPr>
        <w:spacing w:after="0"/>
        <w:ind w:left="426" w:firstLine="708"/>
        <w:jc w:val="both"/>
        <w:rPr>
          <w:rFonts w:ascii="Times New Roman" w:hAnsi="Times New Roman" w:cs="Times New Roman"/>
          <w:sz w:val="24"/>
          <w:szCs w:val="24"/>
        </w:rPr>
      </w:pPr>
      <w:r w:rsidRPr="0073697F">
        <w:rPr>
          <w:rFonts w:ascii="Times New Roman" w:hAnsi="Times New Roman" w:cs="Times New Roman"/>
          <w:sz w:val="24"/>
          <w:szCs w:val="24"/>
        </w:rPr>
        <w:t xml:space="preserve">Meanwhile, the characteristics of respondents were dominated by infectious patients including HIV, respiratory tract infections, tuberculosis, and hepatitis C. VDR has a special role against infection and direct antiviral effects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{"citationItems":[{"id":"ITEM-1","itemData":{"author":[{"dropping-particle":"","family":"Summary","given":"Plain-language","non-dropping-particle":"","parse-names":false,"suffix":""}],"id":"ITEM-1","issued":{"date-parts":[["2021"]]},"page":"31-38","title":"Effects of Vitamin D on COVID-19 Infection and Prognosis : A Systematic Review","type":"article-journal"},"uris":["http://www.mendeley.com/documents/?uuid=591d07b6-b00f-44f9-9073-d8f7d0aa41ed"]}],"mendeley":{"formattedCitation":"[27]","plainTextFormattedCitation":"[27]","previouslyFormattedCitation":"[27]"},"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[27]</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78C1F1B3" w14:textId="77777777" w:rsidR="0073697F" w:rsidRPr="0073697F" w:rsidRDefault="0073697F" w:rsidP="0073697F">
      <w:pPr>
        <w:spacing w:after="0"/>
        <w:ind w:firstLine="426"/>
        <w:jc w:val="both"/>
        <w:rPr>
          <w:rFonts w:ascii="Times New Roman" w:hAnsi="Times New Roman" w:cs="Times New Roman"/>
          <w:b/>
          <w:i/>
          <w:sz w:val="24"/>
          <w:szCs w:val="24"/>
        </w:rPr>
      </w:pPr>
      <w:r w:rsidRPr="0073697F">
        <w:rPr>
          <w:rFonts w:ascii="Times New Roman" w:hAnsi="Times New Roman" w:cs="Times New Roman"/>
          <w:b/>
          <w:i/>
          <w:sz w:val="24"/>
          <w:szCs w:val="24"/>
        </w:rPr>
        <w:t>The Role of VDR in Reducing Infection</w:t>
      </w:r>
    </w:p>
    <w:p w14:paraId="43626973"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r w:rsidRPr="0073697F">
        <w:rPr>
          <w:rFonts w:ascii="Times New Roman" w:hAnsi="Times New Roman" w:cs="Times New Roman"/>
          <w:noProof/>
          <w:sz w:val="24"/>
          <w:szCs w:val="24"/>
        </w:rPr>
        <w:tab/>
        <w:t xml:space="preserve">Several reviewed articles point to the important role of VDR in lowering the risk of infection. One well-known target network of VDR is the intestinal tract. VDR specifically activates cells in the intestinal epithelium (e.g. Paneth cells) and lamina propria (e.g. B cells/plasma cells) to restrict the entry of microbiota (and/or their products) into the interstitium </w:t>
      </w:r>
      <w:r w:rsidRPr="0073697F">
        <w:rPr>
          <w:rFonts w:ascii="Times New Roman" w:hAnsi="Times New Roman" w:cs="Times New Roman"/>
          <w:noProof/>
          <w:sz w:val="24"/>
          <w:szCs w:val="24"/>
        </w:rPr>
        <w:fldChar w:fldCharType="begin" w:fldLock="1"/>
      </w:r>
      <w:r w:rsidRPr="0073697F">
        <w:rPr>
          <w:rFonts w:ascii="Times New Roman" w:hAnsi="Times New Roman" w:cs="Times New Roman"/>
          <w:noProof/>
          <w:sz w:val="24"/>
          <w:szCs w:val="24"/>
        </w:rPr>
        <w:instrText>ADDIN CSL_CITATION {"citationItems":[{"id":"ITEM-1","itemData":{"DOI":"10.1002/jbm4.10397","ISSN":"24734039","abstract":"Low plasma level of 25-hydroxyvitamin D (25-OH-D), namely vitamin D deficiency, is associated with obesity and weight loss improves 25-OH-D status. However, the mechanism behind obesity-induced vitamin D deficiency remains unclear. Here, we report that obesity suppresses the expression of cytochrome P450 (CYP) 2R1, the main vitamin D 25-hydroxylase, in both mice and humans. In humans, weight loss induced by gastric bypass surgery increased the expression of CYP2R1 in the s.c. adipose tissue suggesting recovery after the obesity-induced suppression. At the same time, CYP27B1, the vitamin D 1α-hydroxylase, was repressed by the weight loss. In a mouse (C57BL/6N) model of diet-induced obesity, the plasma 25-OH-D was decreased. In accordance, the CYP2R1 expression was strongly repressed in the liver. Moreover, obesity repressed the expression of CYP2R1 in several extrahepatic tissues, the kidney, brown adipose tissue, and testis, but not in the white adipose tissue. Obesity had a similar effect in both male and female mice. In mice, obesity repressed expression of the vitamin D receptor in brown adipose tissue. Obesity also upregulated the expression of the vitamin D receptor and CYP24A1 in the s.c. adipose tissue of a subset of mice; however, no effect was observed in the human s.c. adipose tissue. In summary, we show that obesity affects CYP2R1 expression both in the mouse and human tissues. We suggest that in mouse the CYP2R1 repression in the liver plays an important role in obesity-induced vitamin D deficiency. Currently, it is unclear whether the CYP2R1 downregulation in extrahepatic tissues could contribute to the obesity-induced low plasma 25-OH-D, however, this phenomenon may affect at least the local 25-OH-D concentrations. © 2020 The Authors. JBMR Plus published by Wiley Periodicals LLC on behalf of American Society for Bone and Mineral Research.","author":[{"dropping-particle":"","family":"Elkhwanky","given":"Mahmoud Sobhy","non-dropping-particle":"","parse-names":false,"suffix":""},{"dropping-particle":"","family":"Kummu","given":"Outi","non-dropping-particle":"","parse-names":false,"suffix":""},{"dropping-particle":"","family":"Piltonen","given":"Terhi T.","non-dropping-particle":"","parse-names":false,"suffix":""},{"dropping-particle":"","family":"Laru","given":"Johanna","non-dropping-particle":"","parse-names":false,"suffix":""},{"dropping-particle":"","family":"Morin-Papunen","given":"Laure","non-dropping-particle":"","parse-names":false,"suffix":""},{"dropping-particle":"","family":"Mutikainen","given":"Maija","non-dropping-particle":"","parse-names":false,"suffix":""},{"dropping-particle":"","family":"Tavi","given":"Pasi","non-dropping-particle":"","parse-names":false,"suffix":""},{"dropping-particle":"","family":"Hakkola","given":"Jukka","non-dropping-particle":"","parse-names":false,"suffix":""}],"container-title":"JBMR Plus","id":"ITEM-1","issue":"11","issued":{"date-parts":[["2020"]]},"page":"1-14","title":"Obesity Represses CYP2R1, the Vitamin D 25-Hydroxylase, in the Liver and Extrahepatic Tissues","type":"article-journal","volume":"4"},"uris":["http://www.mendeley.com/documents/?uuid=18de9300-5b0a-4b06-896c-971bf081cf22"]}],"mendeley":{"formattedCitation":"[28]","plainTextFormattedCitation":"[28]","previouslyFormattedCitation":"[28]"},"properties":{"noteIndex":0},"schema":"https://github.com/citation-style-language/schema/raw/master/csl-citation.json"}</w:instrText>
      </w:r>
      <w:r w:rsidRPr="0073697F">
        <w:rPr>
          <w:rFonts w:ascii="Times New Roman" w:hAnsi="Times New Roman" w:cs="Times New Roman"/>
          <w:noProof/>
          <w:sz w:val="24"/>
          <w:szCs w:val="24"/>
        </w:rPr>
        <w:fldChar w:fldCharType="separate"/>
      </w:r>
      <w:r w:rsidRPr="0073697F">
        <w:rPr>
          <w:rFonts w:ascii="Times New Roman" w:hAnsi="Times New Roman" w:cs="Times New Roman"/>
          <w:noProof/>
          <w:sz w:val="24"/>
          <w:szCs w:val="24"/>
        </w:rPr>
        <w:t>[28]</w:t>
      </w:r>
      <w:r w:rsidRPr="0073697F">
        <w:rPr>
          <w:rFonts w:ascii="Times New Roman" w:hAnsi="Times New Roman" w:cs="Times New Roman"/>
          <w:noProof/>
          <w:sz w:val="24"/>
          <w:szCs w:val="24"/>
        </w:rPr>
        <w:fldChar w:fldCharType="end"/>
      </w:r>
      <w:r w:rsidRPr="0073697F">
        <w:rPr>
          <w:rFonts w:ascii="Times New Roman" w:hAnsi="Times New Roman" w:cs="Times New Roman"/>
          <w:noProof/>
          <w:sz w:val="24"/>
          <w:szCs w:val="24"/>
        </w:rPr>
        <w:t>. This theory is in line with 3 articles reviewed, including the research by Febriza et al., 2020 which emphasizes the role of VDR in killing bacteria in the intestine, especially in typhoid fever. The higher the VDR level, the lower the number of bacterial colonies is</w:t>
      </w:r>
      <w:r w:rsidRPr="0073697F">
        <w:rPr>
          <w:rFonts w:ascii="Times New Roman" w:hAnsi="Times New Roman" w:cs="Times New Roman"/>
          <w:sz w:val="24"/>
          <w:szCs w:val="24"/>
        </w:rPr>
        <w:t xml:space="preserv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{"citationItems":[{"id":"ITEM-1","itemData":{"DOI":"10.2174/1874285802014010065","ISBN":"1874285802","ISSN":"1874-2858","abstract":"Background and aim: The prevalence of typhoid fever is reportedly high, especially in Asia. When a pathogen enters the human body, there are markers in the form of molecules that will be known by the innate immune system. Specific molecular markers of gram negative bacteria, which are Lipopolysaccharides (LPS) and Toll-Like receptors-4 will interact with LPS. The binding between LPS and TLR-4 will give rise to activation signals that will activate innate immune cells. Immune cells will release a number of proinflammatory cytokines, such as TNF-α, IL-1, and IL-6. While Vitamin D Receptors (VDR) are expressed in large amounts in tumor tissue and infected cells. This study aimed to prove the role of IL-6, TNF-α, and VDR in inhibiting bacterial growth in mice that have been induced by S.Typhi. Methods: This research was a real experimental pre-post test design to investigate the level of IL-6, TNF-α and VDR in suppressing the growth of bacteria in the peritoneal fluid of S. Typhi, male, mice BALB/c. Mice were divided into three groups comprised of 10 mice each. All mice in groups A and B were intraperitoneally inoculated with S. Typhi strain Thy1 in study day 0. Group A was treated with antibiotic Levofloxacine, on study day 4th . Another study group, group B, was used as a placebo and received aquades on study day 4th. While group C as a control was not inoculated with S. Typhi. Blood samples from three groups for the calculation of serum Il-6, TNF-α, and VDR were collected. This examination was taken four times; at baseline, 4th day, 10th day, and 30th day. For the calculation of bacterial colony, peritoneal fluid retrieval was collected three times, which is on 4th day, 10th day, and 30th day. Results: A repeated measure ANOVA in group A (antibiotic) and group B (placebo) group showed that mean IL-6, TNF-α, and VDR level differed statistically significant between times (p-value 0.000). There was a strong negative correlation between bacterial colony count and VDR level, which was statistically significant in both groups (group A; r =-0.875, p-value = 0.000 vs group B; r =-0.470, p-value = 0.002). IL-6 and TNF-α didn't give significant statistical correlation with bacterial colony count. Conclusion: VDR, IL-6, and TNF-α play an important role in killing bacteria. From the results of this study, IL-6 level is related to the number of bacterial colonies, the lower the IL-6 level, the less the number of bacterial colonies. Similarly, TNF-α levels have a posi…","author":[{"dropping-particle":"","family":"Febriza","given":"Ami","non-dropping-particle":"","parse-names":false,"suffix":""},{"dropping-particle":"","family":"Natzir","given":"Rosdiana","non-dropping-particle":"","parse-names":false,"suffix":""},{"dropping-particle":"","family":"Hatta","given":"Mochammad","non-dropping-particle":"","parse-names":false,"suffix":""},{"dropping-particle":"","family":"As'ad","given":"Suryani","non-dropping-particle":"","parse-names":false,"suffix":""},{"dropping-particle":"","family":"Budu","given":".","non-dropping-particle":"","parse-names":false,"suffix":""},{"dropping-particle":"","family":"Kaelan","given":"Cahyono","non-dropping-particle":"","parse-names":false,"suffix":""},{"dropping-particle":"","family":"Kasim","given":"Vivien Novarina","non-dropping-particle":"","parse-names":false,"suffix":""},{"dropping-particle":"","family":"Idrus","given":"Hasta Handayani","non-dropping-particle":"","parse-names":false,"suffix":""}],"container-title":"The Open Microbiology Journal","id":"ITEM-1","issue":"1","issued":{"date-parts":[["2020"]]},"page":"65-71","title":"The Role of IL-6, TNF-α, and VDR in Inhibiting the Growth of Salmonella Typhi: in vivo Study","type":"article-journal","volume":"14"},"uris":["http://www.mendeley.com/documents/?uuid=52b750bb-0879-49a9-884e-249c06ff3123"]}],"mendeley":{"formattedCitation":"[21]","plainTextFormattedCitation":"[21]","previouslyFormattedCitation":"[21]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Sun &amp; Zhang's research, (2022) it is said that VDR is very important in regulating intestinal homeostasis by preventing the invasion of pathogenic bacteria, inhibiting inflammation, and maintaining barrier functions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{"citationItems":[{"id":"ITEM-1","itemData":{"DOI":"10.3390/cells11071129","ISSN":"20734409","abstract":"Vitamin D receptor (VDR) executes most of the biological functions of vitamin D. Beyond this, VDR is a transcriptional factor regulating the expression levels of many target genes, such as genes for tight junction proteins claudin-2,-5,-12, and-15. In this review, we discuss the progress of research on VDR that influences intestinal barriers in health and disease. We searched PubMed and Google Scholar using key words vitamin D, VDR, tight junctions, cancer, inflammation, and infection. We summarize the literature and progress reports on VDR regulation of tight junction distribution, cellular functions, and mechanisms (directly or indirectly). We review the impacts of VDR on barriers in various diseases, e.g., colon cancer, infection, inflammatory bowel disease, and chronic inflammatory lung diseases. We also discuss the limits of current studies and future directions. Deeper understanding of the mechanisms by which the VDR signaling regulates intestinal barrier functions allow us to develop efficient and effective therapeutic strategies based on levels of tight junction proteins and vitamin D/VDR statuses for human diseases.","author":[{"dropping-particle":"","family":"Sun","given":"Jun","non-dropping-particle":"","parse-names":false,"suffix":""},{"dropping-particle":"","family":"Zhang","given":"Yong Guo","non-dropping-particle":"","parse-names":false,"suffix":""}],"container-title":"Cells","id":"ITEM-1","issue":"7","issued":{"date-parts":[["2022"]]},"page":"1-23","title":"Vitamin D Receptor Influences Intestinal Barriers in Health and Disease","type":"article-journal","volume":"11"},"uris":["http://www.mendeley.com/documents/?uuid=5a1763a3-44bd-44c6-b105-ddbd24910531"]}],"mendeley":{"formattedCitation":"[18]","plainTextFormattedCitation":"[18]","previouslyFormattedCitation":"[18]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Similar findings by M. Yu et al., 2021 showed that VDR significantly alleviates intestinal fibrosis by inhibiting fibroblast activation, maintaining epithelial mitochondrial function, and reducing EMT processes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{"citationItems":[{"id":"ITEM-1","itemData":{"DOI":"10.1016/j.jbc.2021.100531","ISSN":"1083351X","PMID":"33713706","abstract":"We previously showed that the vitamin D receptor (VDR) plays a crucial role in acute inflammatory bowel disease and that intestinal fibrosis is a common complication of Crohn's disease (CD). Epithelial-mesenchymal transition (EMT) is an important hallmark of fibrogenesis through which epithelial cells lose their epithelial phenotype and transform into mesenchymal cells. It is known that the VDR plays an essential role in epithelial integrity and mitochondrial function, but its role in intestinal fibrosis remains unknown. Here, we investigated whether the VDR is involved in epithelial mitochondrial dysfunction that results in EMT in intestinal fibrosis. Using human CD samples, intestine-specific VDR-KO mice, and fibroblast cellular models, we showed that the expression of the VDR was significantly lower in intestinal stenotic areas than in nonstenotic areas in patients with chronic CD. Genetic deletion of the VDR in the intestinal epithelium exacerbated intestinal fibrosis in mice administered with dextran sulfate sodium or 2,4,6-trinitrobenzene sulfonic acid, two experimental colitis inducers. In addition, we found that vitamin D dietary intervention regulated intestinal fibrosis by modulating the intestinal expression of the VDR. Mechanistically, knocking down the VDR in both CCD-18Co cells and human primary colonic fibroblasts promoted fibroblast activation, whereas VDR overexpression or VDR agonist administration inhibited fibroblast activation. Further analysis illustrated that the VDR inhibited EMT in the HT29 cell model and that mitochondrial dysfunction mediated epithelial integrity and barrier function in VDR-deficient epithelial cells. Together, our data for the first time demonstrate that VDR activation alleviates intestinal fibrosis by inhibiting fibroblast activation and epithelial mitochondria-mediated EMT.","author":[{"dropping-particle":"","family":"Yu","given":"Mengli","non-dropping-particle":"","parse-names":false,"suffix":""},{"dropping-particle":"","family":"Wu","given":"Hao","non-dropping-particle":"","parse-names":false,"suffix":""},{"dropping-particle":"","family":"Wang","given":"Jinhai","non-dropping-particle":"","parse-names":false,"suffix":""},{"dropping-particle":"","family":"Chen","given":"Xueyang","non-dropping-particle":"","parse-names":false,"suffix":""},{"dropping-particle":"","family":"Pan","given":"Jiaqi","non-dropping-particle":"","parse-names":false,"suffix":""},{"dropping-particle":"","family":"Liu","given":"Peihao","non-dropping-particle":"","parse-names":false,"suffix":""},{"dropping-particle":"","family":"Zhang","given":"Jie","non-dropping-particle":"","parse-names":false,"suffix":""},{"dropping-particle":"","family":"Chen","given":"Yishu","non-dropping-particle":"","parse-names":false,"suffix":""},{"dropping-particle":"","family":"Zhu","given":"Wei","non-dropping-particle":"","parse-names":false,"suffix":""},{"dropping-particle":"","family":"Tang","given":"Chenxi","non-dropping-particle":"","parse-names":false,"suffix":""},{"dropping-particle":"","family":"Jin","given":"Qi","non-dropping-particle":"","parse-names":false,"suffix":""},{"dropping-particle":"","family":"Li","given":"Chunxiao","non-dropping-particle":"","parse-names":false,"suffix":""},{"dropping-particle":"","family":"Lu","given":"Chao","non-dropping-particle":"","parse-names":false,"suffix":""},{"dropping-particle":"","family":"Zeng","given":"Hang","non-dropping-particle":"","parse-names":false,"suffix":""},{"dropping-particle":"","family":"Yu","given":"Chaohui","non-dropping-particle":"","parse-names":false,"suffix":""},{"dropping-particle":"","family":"Sun","given":"Jing","non-dropping-particle":"","parse-names":false,"suffix":""}],"container-title":"Journal of Biological Chemistry","id":"ITEM-1","issued":{"date-parts":[["2021"]]},"page":"100531","publisher":"Elsevier B.V","title":"Vitamin D receptor inhibits EMT via regulation of the epithelial mitochondrial function in intestinal fibrosis","type":"article-journal","volume":"296"},"uris":["http://www.mendeley.com/documents/?uuid=da5a5722-504f-4b73-b80c-7411a814b838"]}],"mendeley":{"formattedCitation":"[17]","plainTextFormattedCitation":"[17]","previouslyFormattedCitation":"[17]"},"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[17]</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p>
    <w:p w14:paraId="31743047"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r w:rsidRPr="0073697F">
        <w:rPr>
          <w:rFonts w:ascii="Times New Roman" w:hAnsi="Times New Roman" w:cs="Times New Roman"/>
          <w:sz w:val="24"/>
          <w:szCs w:val="24"/>
        </w:rPr>
        <w:tab/>
        <w:t xml:space="preserve">In addition to the intestine, VDR is also found in the stomach which plays a role in controlling gastrointestinal homeostasis by regulating epithelial cells, innate immune cells, and acquired immune cells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{"citationItems":[{"id":"ITEM-1","itemData":{"DOI":"10.1016/j.tem.2019.04.005","ISSN":"1043-2760","author":[{"dropping-particle":"","family":"Cantorna","given":"Margherita T","non-dropping-particle":"","parse-names":false,"suffix":""},{"dropping-particle":"","family":"Rogers","given":"Connie J","non-dropping-particle":"","parse-names":false,"suffix":""},{"dropping-particle":"","family":"Arora","given":"Juhi","non-dropping-particle":"","parse-names":false,"suffix":""}],"container-title":"Trends in Endocrinology &amp; Metabolism","id":"ITEM-1","issued":{"date-parts":[["2019"]]},"page":"1-8","publisher":"Elsevier Ltd","title":"Aligning the Paradoxical Role of Vitamin D in Gastrointestinal Immunity","type":"article-journal"},"uris":["http://www.mendeley.com/documents/?uuid=ab413e87-83b0-4208-9b06-62b6745135af"]}],"mendeley":{"formattedCitation":"[29]","plainTextFormattedCitation":"[29]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This theory is in line with the research by </w:t>
      </w:r>
      <w:proofErr w:type="spellStart"/>
      <w:r w:rsidRPr="0073697F">
        <w:rPr>
          <w:rFonts w:ascii="Times New Roman" w:hAnsi="Times New Roman" w:cs="Times New Roman"/>
          <w:sz w:val="24"/>
          <w:szCs w:val="24"/>
        </w:rPr>
        <w:t>Guzeeva</w:t>
      </w:r>
      <w:proofErr w:type="spellEnd"/>
      <w:r w:rsidRPr="0073697F">
        <w:rPr>
          <w:rFonts w:ascii="Times New Roman" w:hAnsi="Times New Roman" w:cs="Times New Roman"/>
          <w:sz w:val="24"/>
          <w:szCs w:val="24"/>
        </w:rPr>
        <w:t xml:space="preserve"> et al., (2019) that VDR levels help kill and reduce infection due to Helicobacter Pylori in chronic </w:t>
      </w:r>
      <w:proofErr w:type="spellStart"/>
      <w:r w:rsidRPr="0073697F">
        <w:rPr>
          <w:rFonts w:ascii="Times New Roman" w:hAnsi="Times New Roman" w:cs="Times New Roman"/>
          <w:sz w:val="24"/>
          <w:szCs w:val="24"/>
        </w:rPr>
        <w:t>gastroduodenitis</w:t>
      </w:r>
      <w:proofErr w:type="spellEnd"/>
      <w:r w:rsidRPr="0073697F">
        <w:rPr>
          <w:rFonts w:ascii="Times New Roman" w:hAnsi="Times New Roman" w:cs="Times New Roman"/>
          <w:sz w:val="24"/>
          <w:szCs w:val="24"/>
        </w:rPr>
        <w:t xml:space="preserve">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Guzeeva","given":"Olga","non-dropping-particle":"","parse-names":false,"suffix":""},{"dropping-particle":"","family":"Melnikova","given":"Irina","non-dropping-particle":"","parse-names":false,"suffix":""},{"dropping-particle":"","family":"Larionova","given":"Valentina","non-dropping-particle":"","parse-names":false,"suffix":""},{"dropping-particle":"","family":"Novikova","given":"Valeria","non-dropping-particle":"","parse-names":false,"suffix":""},{"dropping-particle":"","family":"Diana","given":"Kuzmina","non-dropping-particle":"","parse-names":false,"suffix":""}],"id":"ITEM-1","issue":"Suppl 3","issued":{"date-parts":[["2019"]]},"page":"2019","title":"Level Of 25(Oh)-Vitamin D And Vitamin D Receptor (VDR) Gene Polymorphisms In Adolescents With Chronic Gastroduodenitis","type":"article-journal","volume":"25"},"uris":["http://www.mendeley.com/documents/?uuid=d24c7618-3a4e-444c-b88f-9430f70fb0b8"]}],"mendeley":{"formattedCitation":"[24]","plainTextFormattedCitation":"[24]","previouslyFormattedCitation":"[24]"},"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[24]</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516CE2EB"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r w:rsidRPr="0073697F">
        <w:rPr>
          <w:rFonts w:ascii="Times New Roman" w:hAnsi="Times New Roman" w:cs="Times New Roman"/>
          <w:noProof/>
          <w:sz w:val="24"/>
          <w:szCs w:val="24"/>
        </w:rPr>
        <w:tab/>
        <w:t xml:space="preserve">Another theory reveals that VDR can activate antimicrobial peptides secreted on mucosal surfaces and has the ability to kill bacteria and viruses </w:t>
      </w:r>
      <w:r w:rsidRPr="0073697F">
        <w:rPr>
          <w:rFonts w:ascii="Times New Roman" w:hAnsi="Times New Roman" w:cs="Times New Roman"/>
          <w:noProof/>
          <w:sz w:val="24"/>
          <w:szCs w:val="24"/>
        </w:rPr>
        <w:fldChar w:fldCharType="begin" w:fldLock="1"/>
      </w:r>
      <w:r w:rsidRPr="0073697F">
        <w:rPr>
          <w:rFonts w:ascii="Times New Roman" w:hAnsi="Times New Roman" w:cs="Times New Roman"/>
          <w:noProof/>
          <w:sz w:val="24"/>
          <w:szCs w:val="24"/>
        </w:rPr>
        <w:instrText>ADDIN CSL_CITATION {"citationItems":[{"id":"ITEM-1","itemData":{"DOI":"10.1111/joim.13158","ISSN":"13652796","PMID":"32652766","author":[{"dropping-particle":"","family":"Bergman","given":"P.","non-dropping-particle":"","parse-names":false,"suffix":""}],"container-title":"Journal of Internal Medicine","id":"ITEM-1","issue":"1","issued":{"date-parts":[["2021"]]},"page":"131-133","title":"The link between vitamin D and COVID-19: distinguishing facts from fiction","type":"article-journal","volume":"289"},"uris":["http://www.mendeley.com/documents/?uuid=29809219-1b7b-482a-b80d-9d8301e36035"]}],"mendeley":{"formattedCitation":"[30]","plainTextFormattedCitation":"[30]","previouslyFormattedCitation":"[29]"},"properties":{"noteIndex":0},"schema":"https://github.com/citation-style-language/schema/raw/master/csl-citation.json"}</w:instrText>
      </w:r>
      <w:r w:rsidRPr="0073697F">
        <w:rPr>
          <w:rFonts w:ascii="Times New Roman" w:hAnsi="Times New Roman" w:cs="Times New Roman"/>
          <w:noProof/>
          <w:sz w:val="24"/>
          <w:szCs w:val="24"/>
        </w:rPr>
        <w:fldChar w:fldCharType="separate"/>
      </w:r>
      <w:r w:rsidRPr="0073697F">
        <w:rPr>
          <w:rFonts w:ascii="Times New Roman" w:hAnsi="Times New Roman" w:cs="Times New Roman"/>
          <w:noProof/>
          <w:sz w:val="24"/>
          <w:szCs w:val="24"/>
        </w:rPr>
        <w:t>[30]</w:t>
      </w:r>
      <w:r w:rsidRPr="0073697F">
        <w:rPr>
          <w:rFonts w:ascii="Times New Roman" w:hAnsi="Times New Roman" w:cs="Times New Roman"/>
          <w:noProof/>
          <w:sz w:val="24"/>
          <w:szCs w:val="24"/>
        </w:rPr>
        <w:fldChar w:fldCharType="end"/>
      </w:r>
      <w:r w:rsidRPr="0073697F">
        <w:rPr>
          <w:rFonts w:ascii="Times New Roman" w:hAnsi="Times New Roman" w:cs="Times New Roman"/>
          <w:noProof/>
          <w:sz w:val="24"/>
          <w:szCs w:val="24"/>
        </w:rPr>
        <w:t xml:space="preserve">. It is in line with the reviewed article in the research by Wardani et al., (2021) that VDR has a strong immunomodulatory effect and antimicrobial effect on HIV infection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{"citationItems":[{"id":"ITEM-1","itemData":{"DOI":"10.1016/j.amsu.2021.02.020","ISSN":"20490801","abstract":"Background: HIV-AIDS patients typically have hypovitaminosis D. Vitamin D is a key mediator in inflammatory and infectious diseases, which VDR mediates its biological effect. High-mobility group box 1 protein (HMGB1) modulates HIV-1 replication in vitro. Vitamin D played a role in inhibiting HMGB1 secretion in the animal study. Objectives: This study aimed to examine differences and correlation of vitamin D receptor and HMGB1 protein levels in HIV patients with mild and severe immunodeficiency and healthy control participants. Methods: This study using a cross-sectional design conducted at Volunteer Counseling and Testing (VCT) Clinic in Mataram, West Nusa Tenggara, Indonesia, from January to June 2020. Three groups of study participants were classified as HIV patients with severe immune deficiency (SID), HIV patients with mild immune deficiency (MID), and healthy controls (HC). Results: Mean level of vitamin D receptor in SID HIV group was 25.89 ± 3.95 ng/ml, lower than those in MID-HIV group; 33.72 ± 1.69 ng/ml and in HC group; 50.65 ± 3.64 ng/ml. Mean levels of HMGB1 protein in the SID HIV group were 3119.81 ± 292.38 pg/ml higher than those in the MID HIV group 1553.55 ± 231.08 pg/ml and HC 680.82 ± 365.51 pg/ml. There was a significant and strong negative correlation (r = −0.932) between vitamin D receptor and HMGB1 levels (p &lt; 0.01). Conclusions: Strong negative correlation between VDR and HMGB1 in different immunodeficiency statuses suggesting an important role of vitamin D in inflammation control in HIV infection. However, it needs to be confirmed in a further prospective study.","author":[{"dropping-particle":"","family":"Wardani","given":"Indah Sapta","non-dropping-particle":"","parse-names":false,"suffix":""},{"dropping-particle":"","family":"Hatta","given":"Mochammad","non-dropping-particle":"","parse-names":false,"suffix":""},{"dropping-particle":"","family":"Mubin","given":"Risna Halim","non-dropping-particle":"","parse-names":false,"suffix":""},{"dropping-particle":"","family":"Bukhari","given":"Agussalim","non-dropping-particle":"","parse-names":false,"suffix":""},{"dropping-particle":"","family":"Mulyanto","given":"","non-dropping-particle":"","parse-names":false,"suffix":""},{"dropping-particle":"","family":"Massi","given":"Muhammad Nasrum","non-dropping-particle":"","parse-names":false,"suffix":""},{"dropping-particle":"","family":"Djaharuddin","given":"Irawaty","non-dropping-particle":"","parse-names":false,"suffix":""},{"dropping-particle":"","family":"Bahar","given":"Burhanuddin","non-dropping-particle":"","parse-names":false,"suffix":""},{"dropping-particle":"","family":"Aminuddin","given":"","non-dropping-particle":"","parse-names":false,"suffix":""},{"dropping-particle":"","family":"Wahyuni","given":"Siti","non-dropping-particle":"","parse-names":false,"suffix":""}],"container-title":"Annals of Medicine and Surgery","id":"ITEM-1","issue":"February","issued":{"date-parts":[["2021"]]},"page":"102174","publisher":"Elsevier Ltd","title":"Serum vitamin D receptor and High Mobility Group Box-1 (HMGB1) levels in HIV-infected patients with different immunodeficiency status: A cross-sectional study","type":"article-journal","volume":"63"},"uris":["http://www.mendeley.com/documents/?uuid=c3b00a60-5204-426b-a901-6c12d94ddbef"]}],"mendeley":{"formattedCitation":"[22]","plainTextFormattedCitation":"[22]","previouslyFormattedCitation":"[22]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In addition, Zhao et al., (2018) stated that VDR plays a protective role in the integrity of the oral mucosal barrier to overcome bacterial challenges, stopping or delaying the development of Oral Lichen Planus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{"citationItems":[{"id":"ITEM-1","itemData":{"DOI":"10.1038/s41598-018-19234-z","ISSN":"20452322","PMID":"29335479","abstract":"The suppressive function of vitamin D on oral lichen planus (OLP) have been documented previously. Vitamin D receptor (VDR) expression is down-regulated in OLP, but the molecular mechanism of its decrease and the related anti-inflammatory contributor of epithelial VDR signaling is unclear. Herein, we demonstrated that lipopolysaccharide (LPS) remarkedly down-regulated VDR expression of keratinocytes, and the reduced regulation was dependent on tumor necrosis factor alpha (TNFα)-miR-346 pathway. In human specimen studies, VDR levels of oral mucosal epithelia from OLP patients decreased substantially accompanied with robust TNFα and miR-346 induction, compared to the normal tissues. In addition, vitamin D/VDR signaling inhibited LPS-induced p53-upregulated modulator of apoptosis (PUMA) induction in keratinocytes via impeding nuclear factor-κB (NF-κB) activation, resulting in keratinocytes apoptosis reduction. Importantly, PUMA activity was up-regulated strongly in diseased epithelium, reversely correlated with VDR expression. Totally, our data indicate that LPS is responsible for VDR downregulation in oral keratinocytes, which is associated with OLP development.","author":[{"dropping-particle":"","family":"Zhao","given":"Bin","non-dropping-particle":"","parse-names":false,"suffix":""},{"dropping-particle":"","family":"Li","given":"Ran","non-dropping-particle":"","parse-names":false,"suffix":""},{"dropping-particle":"","family":"Yang","given":"Fang","non-dropping-particle":"","parse-names":false,"suffix":""},{"dropping-particle":"","family":"Yu","given":"Feiyan","non-dropping-particle":"","parse-names":false,"suffix":""},{"dropping-particle":"","family":"Xu","given":"Na","non-dropping-particle":"","parse-names":false,"suffix":""},{"dropping-particle":"","family":"Zhang","given":"Fang","non-dropping-particle":"","parse-names":false,"suffix":""},{"dropping-particle":"","family":"Ge","given":"Xuejun","non-dropping-particle":"","parse-names":false,"suffix":""},{"dropping-particle":"","family":"Du","given":"Jie","non-dropping-particle":"","parse-names":false,"suffix":""}],"container-title":"Scientific Reports","id":"ITEM-1","issue":"1","issued":{"date-parts":[["2018"]]},"page":"1-9","title":"LPS-induced Vitamin D Receptor Decrease in Oral Keratinocytes Is Associated with Oral Lichen Planus","type":"article-journal","volume":"8"},"uris":["http://www.mendeley.com/documents/?uuid=bdd36c71-e0ae-4893-a931-71d75231210c"]}],"mendeley":{"formattedCitation":"[19]","plainTextFormattedCitation":"[19]","previouslyFormattedCitation":"[19]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This is reinforced by the research by Jolliffe et al., (2018) that VDR mediates protection against respiratory infections by supporting antiviral responses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{"citationItems":[{"id":"ITEM-1","itemData":{"DOI":"10.1017/S000711451800209X","ISSN":"14752662","PMID":"30132432","abstract":"SNP in the vitamin D receptor (VDR) gene is associated with risk of lower respiratory infections. The influence of genetic variation in the vitamin D pathway resulting in susceptibility to upper respiratory infections (URI) has not been investigated. We evaluated the influence of thirty-three SNP in eleven vitamin D pathway genes (DBP, DHCR7, RXRA, CYP2R1, CYP27B1, CYP24A1, CYP3A4, CYP27A1, LRP2, CUBN and VDR) resulting in URI risk in 725 adults in London, UK, using an additive model with adjustment for potential confounders and correction for multiple comparisons. Significant associations in this cohort were investigated in a validation cohort of 737 children in Manchester, UK. In all, three SNP in VDR (rs4334089, rs11568820 and rs7970314) and one SNP in CYP3A4 (rs2740574) were associated with risk of URI in the discovery cohort after adjusting for potential confounders and correcting for multiple comparisons (adjusted incidence rate ratio per additional minor allele ≥1·15, P for trend ≤0·030). This association was replicated for rs4334089 in the validation cohort (P for trend=0·048) but not for rs11568820, rs7970314 or rs2740574. Carriage of the minor allele of the rs4334089 SNP in VDR was associated with increased susceptibility to URI in children and adult cohorts in the United Kingdom.","author":[{"dropping-particle":"","family":"Jolliffe","given":"David A.","non-dropping-particle":"","parse-names":false,"suffix":""},{"dropping-particle":"","family":"Greiller","given":"Claire L.","non-dropping-particle":"","parse-names":false,"suffix":""},{"dropping-particle":"","family":"Mein","given":"Charles A.","non-dropping-particle":"","parse-names":false,"suffix":""},{"dropping-particle":"","family":"Hoti","given":"Mimoza","non-dropping-particle":"","parse-names":false,"suffix":""},{"dropping-particle":"","family":"Bakhsoliani","given":"Eteri","non-dropping-particle":"","parse-names":false,"suffix":""},{"dropping-particle":"","family":"Telcian","given":"Aurica G.","non-dropping-particle":"","parse-names":false,"suffix":""},{"dropping-particle":"","family":"Simpson","given":"Angela","non-dropping-particle":"","parse-names":false,"suffix":""},{"dropping-particle":"","family":"Barnes","given":"Neil C.","non-dropping-particle":"","parse-names":false,"suffix":""},{"dropping-particle":"","family":"Curtin","given":"John A.","non-dropping-particle":"","parse-names":false,"suffix":""},{"dropping-particle":"","family":"Custovic","given":"Adnan","non-dropping-particle":"","parse-names":false,"suffix":""},{"dropping-particle":"","family":"Johnston","given":"Sebastian L.","non-dropping-particle":"","parse-names":false,"suffix":""},{"dropping-particle":"","family":"Griffiths","given":"Christopher J.","non-dropping-particle":"","parse-names":false,"suffix":""},{"dropping-particle":"","family":"Walton","given":"Robert T.","non-dropping-particle":"","parse-names":false,"suffix":""},{"dropping-particle":"","family":"Martineau","given":"Adrian R.","non-dropping-particle":"","parse-names":false,"suffix":""}],"container-title":"British Journal of Nutrition","id":"ITEM-1","issue":"8","issued":{"date-parts":[["2018"]]},"page":"881-890","title":"Vitamin D receptor genotype influences risk of upper respiratory infection","type":"article-journal","volume":"120"},"uris":["http://www.mendeley.com/documents/?uuid=021b93f8-7c0a-46b5-b943-387fcd7ae241"]}],"mendeley":{"formattedCitation":"[20]","plainTextFormattedCitation":"[20]","previouslyFormattedCitation":"[20]"},"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[20]</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w:t>
      </w:r>
    </w:p>
    <w:p w14:paraId="594A2404"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r w:rsidRPr="0073697F">
        <w:rPr>
          <w:rFonts w:ascii="Times New Roman" w:hAnsi="Times New Roman" w:cs="Times New Roman"/>
          <w:sz w:val="24"/>
          <w:szCs w:val="24"/>
        </w:rPr>
        <w:tab/>
        <w:t xml:space="preserve">In addition, VDR plays an important role as an anti-inflammatory agent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{"citationItems":[{"id":"ITEM-1","itemData":{"DOI":"10.1038/s41598-018-19183-7","author":[{"dropping-particle":"","family":"Lin","given":"Zongtao","non-dropping-particle":"","parse-names":false,"suffix":""},{"dropping-particle":"","family":"Marepally","given":"Srinivasa R","non-dropping-particle":"","parse-names":false,"suffix":""},{"dropping-particle":"","family":"Goh","given":"Emily S Y","non-dropping-particle":"","parse-names":false,"suffix":""},{"dropping-particle":"","family":"Cheng","given":"Chloe Y S","non-dropping-particle":"","parse-names":false,"suffix":""},{"dropping-particle":"","family":"Janjetovic","given":"Zorica","non-dropping-particle":"","parse-names":false,"suffix":""},{"dropping-particle":"","family":"Kim","given":"Tae-kang","non-dropping-particle":"","parse-names":false,"suffix":""},{"dropping-particle":"","family":"Miller","given":"Duane D","non-dropping-particle":"","parse-names":false,"suffix":""},{"dropping-particle":"","family":"Postlethwaite","given":"Arnold E","non-dropping-particle":"","parse-names":false,"suffix":""},{"dropping-particle":"","family":"Slomins","given":"Andrzej T","non-dropping-particle":"","parse-names":false,"suffix":""},{"dropping-particle":"","family":"Tuckey","given":"C","non-dropping-particle":"","parse-names":false,"suffix":""},{"dropping-particle":"","family":"Peluso","given":"Carole","non-dropping-particle":"","parse-names":false,"suffix":""},{"dropping-particle":"","family":"Rochel","given":"Natacha","non-dropping-particle":"","parse-names":false,"suffix":""},{"dropping-particle":"","family":"Li","given":"Wei","non-dropping-particle":"","parse-names":false,"suffix":""}],"id":"ITEM-1","issue":"September 2017","issued":{"date-parts":[["2018"]]},"page":"1-11","title":"Investigation of 20 S - hydroxyvitamin D 3 analogs and their 1 α -OH derivatives as potent vitamin D receptor agonists with anti-inflammatory activities","type":"article-journal"},"uris":["http://www.mendeley.com/documents/?uuid=a031627c-440b-42aa-9240-e39cf7dee46f"]}],"mendeley":{"formattedCitation":"[31]","plainTextFormattedCitation":"[31]","previouslyFormattedCitation":"[30]"},"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[31]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This is in line with the research by H. O. U. Yu et al., (2022), which found that VDR works as an anti-inflammatory in acute breathing by inhibiting TNF/NF-</w:t>
      </w:r>
      <w:proofErr w:type="spellStart"/>
      <w:r w:rsidRPr="0073697F">
        <w:rPr>
          <w:rFonts w:ascii="Times New Roman" w:hAnsi="Times New Roman" w:cs="Times New Roman"/>
          <w:sz w:val="24"/>
          <w:szCs w:val="24"/>
        </w:rPr>
        <w:t>κB</w:t>
      </w:r>
      <w:proofErr w:type="spellEnd"/>
      <w:r w:rsidRPr="0073697F">
        <w:rPr>
          <w:rFonts w:ascii="Times New Roman" w:hAnsi="Times New Roman" w:cs="Times New Roman"/>
          <w:sz w:val="24"/>
          <w:szCs w:val="24"/>
        </w:rPr>
        <w:t xml:space="preserve"> and IFN-γ signalling pathways and reducing the production of pro-inflammatory cytokines such as IL-6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{"citationItems":[{"id":"ITEM-1","itemData":{"DOI":"10.11817/j.issn.1672-7347.2022.210556","ISBN":"0000000306980","author":[{"dropping-particle":"","family":"Yu","given":"H O U","non-dropping-particle":"","parse-names":false,"suffix":""},{"dropping-particle":"","family":"Jinghui","given":"L I","non-dropping-particle":"","parse-names":false,"suffix":""},{"dropping-particle":"","family":"Chao","given":"Deng","non-dropping-particle":"","parse-names":false,"suffix":""}],"id":"ITEM-1","issue":"6","issued":{"date-parts":[["2022"]]},"page":"0-3","title":"Vitamin D / vitamin D receptor , autophagy , and infection","type":"article-journal","volume":"47"},"uris":["http://www.mendeley.com/documents/?uuid=cf8556b2-1558-4cdf-a86d-58b2568acfd4"]}],"mendeley":{"formattedCitation":"[11]","plainTextFormattedCitation":"[11]","previouslyFormattedCitation":"[11]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Meanwhile, in the research by Abdel-Mohsen et al., (2018), it was found that VDR also plays a role as an anti-inflammatory, antiproliferative, and antitumor genesis so as to inhibit inflammation in Hepatitis C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{"citationItems":[{"id":"ITEM-1","itemData":{"DOI":"10.1097/MD.0000000000010172","ISBN":"0000000000","ISSN":"15365964","PMID":"29561429","abstract":"The aims of this study were to investigate the interplay between autophagy and apoptosis and to investigate the association between both of autophagy and apoptosis and vitamin D and its receptor in hepatitis C virus (HCV) viral infection and its implication in the progression into hepatocellular carcinoma (HCC). A cross-sectional study where serum levels of microtubule-associated protein 1A/1B-light chain 3 (LC3); marker of autophagy, caspase-3; marker of apoptosis, vitamin D3 and vitamin D receptor (VDR) were measured in healthy subjects as well as HCV and HCV-HCC patients using enzyme-linked immunosorbent assay technique. Collectively, the liver profile revealed hepatic dysfunctions in HCV patients with or without HCC. A significant reduction in the serum concentration levels LC3 and caspase-3 were observed referring to the down regulation of autophagy and host-mediated apoptosis in HCV patients with or without HCC. Deficiency of vitamin D and decreased levels of its receptor were observed in HCV and HCV-HCC patients. The perturbation in vitamin D/VDR axis, which modulates both of autophagy and apoptosis in HCV infection, may point out to its involvement and implication in the pathogenesis of HCV infection and the development of HCV-related HCC. Therefore, supplementation with vitamin D may not be the only solution to restore the vital biological functions of vitamin D but VDR-targeted therapy may be of great importance in this respect.","author":[{"dropping-particle":"","family":"Abdel-Mohsen","given":"Mohamed Ahmed","non-dropping-particle":"","parse-names":false,"suffix":""},{"dropping-particle":"","family":"El-Braky","given":"Ahlam Abd Allah","non-dropping-particle":"","parse-names":false,"suffix":""},{"dropping-particle":"","family":"Ghazal","given":"Abeer Abd El Rahim","non-dropping-particle":"","parse-names":false,"suffix":""},{"dropping-particle":"","family":"Shamseya","given":"Mohammed Mohammed","non-dropping-particle":"","parse-names":false,"suffix":""}],"container-title":"Medicine (United States)","id":"ITEM-1","issue":"12","issued":{"date-parts":[["2018"]]},"title":"Autophagy, apoptosis, Vitamin D, and Vitamin D receptor in hepatocellular carcinoma associated with hepatitis C virus","type":"article-journal","volume":"97"},"uris":["http://www.mendeley.com/documents/?uuid=9b688b7b-0ce8-4f8d-b34e-72eb1fb97bab"]}],"mendeley":{"formattedCitation":"[23]","plainTextFormattedCitation":"[23]","previouslyFormattedCitation":"[23]"},"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[23]</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w:t>
      </w:r>
    </w:p>
    <w:p w14:paraId="0C5494B5" w14:textId="77777777" w:rsidR="0073697F" w:rsidRPr="0073697F" w:rsidRDefault="0073697F" w:rsidP="0073697F">
      <w:pPr>
        <w:pStyle w:val="ListParagraph"/>
        <w:tabs>
          <w:tab w:val="left" w:pos="1134"/>
        </w:tabs>
        <w:spacing w:after="0"/>
        <w:ind w:left="360" w:firstLine="774"/>
        <w:jc w:val="both"/>
        <w:rPr>
          <w:rFonts w:ascii="Times New Roman" w:hAnsi="Times New Roman" w:cs="Times New Roman"/>
          <w:sz w:val="24"/>
          <w:szCs w:val="24"/>
        </w:rPr>
      </w:pPr>
      <w:r w:rsidRPr="0073697F">
        <w:rPr>
          <w:rFonts w:ascii="Times New Roman" w:hAnsi="Times New Roman" w:cs="Times New Roman"/>
          <w:sz w:val="24"/>
          <w:szCs w:val="24"/>
        </w:rPr>
        <w:tab/>
        <w:t xml:space="preserve">Another theory is that VDR works as an anti-proliferation in cancer. This is in line with the article reviewed in the research by Huss et al., (2019) where VDR acts as a prognostic </w:t>
      </w:r>
      <w:r w:rsidRPr="0073697F">
        <w:rPr>
          <w:rFonts w:ascii="Times New Roman" w:hAnsi="Times New Roman" w:cs="Times New Roman"/>
          <w:sz w:val="24"/>
          <w:szCs w:val="24"/>
        </w:rPr>
        <w:lastRenderedPageBreak/>
        <w:t xml:space="preserve">factor in reducing the risk of death from breast cancer by inhibiting the proliferation of cancer cells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{"citationItems":[{"id":"ITEM-1","itemData":{"DOI":"10.1186/s13058-019-1169-1","ISBN":"1305801911","ISSN":"1465542X","PMID":"31358030","abstract":"Background: Vitamin D has been suggested to prevent and improve the prognosis of several cancers, including breast cancer. We have previously shown a U-shaped association between pre-diagnostic serum levels of vitamin D and risk of breast cancer-related death, with poor survival in patients with the lowest and the highest levels respectively, as compared to the intermediate group. Vitamin D exerts its functions through the vitamin D receptor (VDR), and the aim of the current study was to investigate if the expression of VDR in invasive breast tumors is associated with breast cancer prognosis. Methods: VDR expression was evaluated in a tissue microarray of 718 invasive breast tumors. Covariation between VDR expression and established prognostic factors for breast cancer was analyzed, as well as associations between VDR expression and breast cancer mortality. Results: We found that positive VDR expression in the nuclei and cytoplasm of breast cancer cells was associated with favorable tumor characteristics such as smaller size, lower grade, estrogen receptor positivity and progesterone receptor positivity, and lower expression of Ki67. In addition, both intranuclear and cytoplasmic VDR expression were associated with a low risk of breast cancer mortality, hazard ratios 0.56 (95% CI 0.34-0.91) and 0.59 (0.30-1.16) respectively. Conclusions: This study found that high expression of VDR in invasive breast tumors is associated with favorable prognostic factors and a low risk of breast cancer death. Hence, a high VDR expression is a positive prognostic factor.","author":[{"dropping-particle":"","family":"Huss","given":"Linnea","non-dropping-particle":"","parse-names":false,"suffix":""},{"dropping-particle":"","family":"Butt","given":"Salma Tunå","non-dropping-particle":"","parse-names":false,"suffix":""},{"dropping-particle":"","family":"Borgquist","given":"Signe","non-dropping-particle":"","parse-names":false,"suffix":""},{"dropping-particle":"","family":"Elebro","given":"Karin","non-dropping-particle":"","parse-names":false,"suffix":""},{"dropping-particle":"","family":"Sandsveden","given":"Malte","non-dropping-particle":"","parse-names":false,"suffix":""},{"dropping-particle":"","family":"Rosendahl","given":"Ann","non-dropping-particle":"","parse-names":false,"suffix":""},{"dropping-particle":"","family":"Manjer","given":"Jonas","non-dropping-particle":"","parse-names":false,"suffix":""}],"container-title":"Breast Cancer Research","id":"ITEM-1","issue":"1","issued":{"date-parts":[["2019"]]},"page":"1-13","publisher":"Breast Cancer Research","title":"Vitamin D receptor expression in invasive breast tumors and breast cancer survival","type":"article-journal","volume":"21"},"uris":["http://www.mendeley.com/documents/?uuid=5e31370b-fe6b-4297-b990-c68d5a9ceef9"]}],"mendeley":{"formattedCitation":"[16]","plainTextFormattedCitation":"[16]","previouslyFormattedCitation":"[16]"},"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[16]</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Further, </w:t>
      </w:r>
      <w:r w:rsidRPr="0073697F">
        <w:rPr>
          <w:rFonts w:ascii="Times New Roman" w:hAnsi="Times New Roman" w:cs="Times New Roman"/>
          <w:noProof/>
          <w:sz w:val="24"/>
          <w:szCs w:val="24"/>
        </w:rPr>
        <w:t xml:space="preserve">Muralidhar et al., (2019) found that VDR is a positive prognostic factor for melanoma patients by inhibiting Wnt/β-catenin signaling and enhancing immune cell infiltration and has the potential to boost antitumor immunity </w:t>
      </w: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Muralidhar","given":"S","non-dropping-particle":"","parse-names":false,"suffix":""},{"dropping-particle":"","family":"Filia","given":"A","non-dropping-particle":"","parse-names":false,"suffix":""},{"dropping-particle":"","family":"Nsengimana","given":"J","non-dropping-particle":"","parse-names":false,"suffix":""}],"id":"ITEM-1","issued":{"date-parts":[["2019"]]},"title":"This is a repository copy of Vitamin D-VDR signaling inhibits Wnt / beta-catenin-mediated melanoma progression and promotes anti-tumor immunity . White Rose Research Online URL for this paper : Version : Accepted Version Article : Muralidhar , S , Filia ,","type":"article-journal"},"uris":["http://www.mendeley.com/documents/?uuid=2f7e7f1d-833d-494c-9ed5-f9f12572bb7e"]}],"mendeley":{"formattedCitation":"[32]","plainTextFormattedCitation":"[32]","previouslyFormattedCitation":"[33]"},"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[32]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xml:space="preserve">, and O’Brien (2018) found that the content of </w:t>
      </w:r>
      <w:proofErr w:type="spellStart"/>
      <w:r w:rsidRPr="0073697F">
        <w:rPr>
          <w:rFonts w:ascii="Times New Roman" w:hAnsi="Times New Roman" w:cs="Times New Roman"/>
          <w:sz w:val="24"/>
          <w:szCs w:val="24"/>
        </w:rPr>
        <w:t>CpGs</w:t>
      </w:r>
      <w:proofErr w:type="spellEnd"/>
      <w:r w:rsidRPr="0073697F">
        <w:rPr>
          <w:rFonts w:ascii="Times New Roman" w:hAnsi="Times New Roman" w:cs="Times New Roman"/>
          <w:sz w:val="24"/>
          <w:szCs w:val="24"/>
        </w:rPr>
        <w:t xml:space="preserve"> in VDR affects the risk of breast cancer by interacting with 25(OH)D. </w:t>
      </w:r>
    </w:p>
    <w:p w14:paraId="23D9A2C5" w14:textId="77777777" w:rsidR="0073697F" w:rsidRPr="0073697F" w:rsidRDefault="0073697F" w:rsidP="0073697F">
      <w:pPr>
        <w:pStyle w:val="ListParagraph"/>
        <w:tabs>
          <w:tab w:val="left" w:pos="1134"/>
        </w:tabs>
        <w:spacing w:after="0"/>
        <w:ind w:left="360" w:firstLine="774"/>
        <w:jc w:val="both"/>
        <w:rPr>
          <w:rFonts w:ascii="Times New Roman" w:hAnsi="Times New Roman" w:cs="Times New Roman"/>
          <w:sz w:val="24"/>
          <w:szCs w:val="24"/>
        </w:rPr>
      </w:pPr>
    </w:p>
    <w:p w14:paraId="6F463030" w14:textId="77777777" w:rsidR="0073697F" w:rsidRPr="0073697F" w:rsidRDefault="0073697F" w:rsidP="0073697F">
      <w:pPr>
        <w:pStyle w:val="ListParagraph"/>
        <w:numPr>
          <w:ilvl w:val="0"/>
          <w:numId w:val="7"/>
        </w:numPr>
        <w:tabs>
          <w:tab w:val="left" w:pos="1134"/>
        </w:tabs>
        <w:spacing w:after="0"/>
        <w:jc w:val="both"/>
        <w:rPr>
          <w:rFonts w:ascii="Times New Roman" w:hAnsi="Times New Roman" w:cs="Times New Roman"/>
          <w:b/>
          <w:sz w:val="24"/>
          <w:szCs w:val="24"/>
        </w:rPr>
      </w:pPr>
      <w:r w:rsidRPr="0073697F">
        <w:rPr>
          <w:rFonts w:ascii="Times New Roman" w:hAnsi="Times New Roman" w:cs="Times New Roman"/>
          <w:b/>
          <w:sz w:val="24"/>
          <w:szCs w:val="24"/>
        </w:rPr>
        <w:t>Conclusion</w:t>
      </w:r>
    </w:p>
    <w:p w14:paraId="72B38C5B"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r w:rsidRPr="0073697F">
        <w:rPr>
          <w:rFonts w:ascii="Times New Roman" w:hAnsi="Times New Roman" w:cs="Times New Roman"/>
          <w:sz w:val="24"/>
          <w:szCs w:val="24"/>
        </w:rPr>
        <w:tab/>
        <w:t>This systematic review provides an overview of the important role of VDR in reducing the risk of infection by killing bacteria and viruses, especially in the intestine, controlling gastrointestinal homeostasis, as an anti-inflammatory and anti-proliferative agent, and acting as a prognostic factor. VDR is expected to reduce the infection rate which is an indicator of improving the quality of nursing services.</w:t>
      </w:r>
    </w:p>
    <w:p w14:paraId="70771CD2" w14:textId="77777777" w:rsidR="0073697F" w:rsidRPr="0073697F" w:rsidRDefault="0073697F" w:rsidP="0073697F">
      <w:pPr>
        <w:pStyle w:val="ListParagraph"/>
        <w:tabs>
          <w:tab w:val="left" w:pos="1134"/>
        </w:tabs>
        <w:spacing w:after="0"/>
        <w:ind w:left="360"/>
        <w:jc w:val="both"/>
        <w:rPr>
          <w:rFonts w:ascii="Times New Roman" w:hAnsi="Times New Roman" w:cs="Times New Roman"/>
          <w:sz w:val="24"/>
          <w:szCs w:val="24"/>
        </w:rPr>
      </w:pPr>
    </w:p>
    <w:p w14:paraId="2499A71E" w14:textId="77777777" w:rsidR="0073697F" w:rsidRPr="0073697F" w:rsidRDefault="0073697F" w:rsidP="0073697F">
      <w:pPr>
        <w:rPr>
          <w:rFonts w:ascii="Times New Roman" w:hAnsi="Times New Roman" w:cs="Times New Roman"/>
          <w:b/>
          <w:sz w:val="24"/>
          <w:szCs w:val="24"/>
        </w:rPr>
      </w:pPr>
      <w:r w:rsidRPr="0073697F">
        <w:rPr>
          <w:rFonts w:ascii="Times New Roman" w:hAnsi="Times New Roman" w:cs="Times New Roman"/>
          <w:b/>
          <w:sz w:val="24"/>
          <w:szCs w:val="24"/>
        </w:rPr>
        <w:t>REFERENCES</w:t>
      </w:r>
    </w:p>
    <w:p w14:paraId="35ACE31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 xml:space="preserve">ADDIN Mendeley Bibliography CSL_BIBLIOGRAPHY </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[1]</w:t>
      </w:r>
      <w:r w:rsidRPr="0073697F">
        <w:rPr>
          <w:rFonts w:ascii="Times New Roman" w:hAnsi="Times New Roman" w:cs="Times New Roman"/>
          <w:noProof/>
          <w:sz w:val="24"/>
          <w:szCs w:val="24"/>
        </w:rPr>
        <w:tab/>
        <w:t>Kemenkes RI, “Cegah Penyebaran Penyakit Infeksi, SDM Kesehatan di Pintu Masuk Negara Diperkuat,” 2022. [Online]. Available: https://www.kemkes.go.id/article/view/22061700001/cegah-penyebaran-penyakit-infeksi-sdm-kesehatan-di-pintu-masuk-negara-diperkuat.html.</w:t>
      </w:r>
    </w:p>
    <w:p w14:paraId="448FF3B8"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w:t>
      </w:r>
      <w:r w:rsidRPr="0073697F">
        <w:rPr>
          <w:rFonts w:ascii="Times New Roman" w:hAnsi="Times New Roman" w:cs="Times New Roman"/>
          <w:noProof/>
          <w:sz w:val="24"/>
          <w:szCs w:val="24"/>
        </w:rPr>
        <w:tab/>
        <w:t xml:space="preserve">M. A. Zmijewski, “Vitamin D and human health,” </w:t>
      </w:r>
      <w:r w:rsidRPr="0073697F">
        <w:rPr>
          <w:rFonts w:ascii="Times New Roman" w:hAnsi="Times New Roman" w:cs="Times New Roman"/>
          <w:i/>
          <w:iCs/>
          <w:noProof/>
          <w:sz w:val="24"/>
          <w:szCs w:val="24"/>
        </w:rPr>
        <w:t>Int. J. Mol. Sci.</w:t>
      </w:r>
      <w:r w:rsidRPr="0073697F">
        <w:rPr>
          <w:rFonts w:ascii="Times New Roman" w:hAnsi="Times New Roman" w:cs="Times New Roman"/>
          <w:noProof/>
          <w:sz w:val="24"/>
          <w:szCs w:val="24"/>
        </w:rPr>
        <w:t>, vol. 20, no. 1, 2019, doi: 10.3390/ijms20010145.</w:t>
      </w:r>
    </w:p>
    <w:p w14:paraId="6185ACF0"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w:t>
      </w:r>
      <w:r w:rsidRPr="0073697F">
        <w:rPr>
          <w:rFonts w:ascii="Times New Roman" w:hAnsi="Times New Roman" w:cs="Times New Roman"/>
          <w:noProof/>
          <w:sz w:val="24"/>
          <w:szCs w:val="24"/>
        </w:rPr>
        <w:tab/>
        <w:t>ECDC, “Point prevalence survey of healthcare-associated infections and antimicrobial use in European acute care hospitals,” 2022. [Online]. Available: https://www.ecdc.europa.eu/en/publications-data/point-prevalence-survey-healthcare-associated-infections-and-antimicrobial-use-vs-6-1.</w:t>
      </w:r>
    </w:p>
    <w:p w14:paraId="60485DE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[4]</w:t>
      </w:r>
      <w:r w:rsidRPr="0073697F">
        <w:rPr>
          <w:rFonts w:ascii="Times New Roman" w:hAnsi="Times New Roman" w:cs="Times New Roman"/>
          <w:noProof/>
          <w:sz w:val="24"/>
          <w:szCs w:val="24"/>
        </w:rPr>
        <w:tab/>
        <w:t>V. Sukkird, “Multi-Objective Emergency Nurse Scheduling With Combined Hospital Policies and Individual Preference By a Disserttion Submitted in Partialfulfillment of the Requirements for the Degree of Doctor of Multi-Objective Emergency Nursescheduling With Combined H,” 2019.</w:t>
      </w:r>
    </w:p>
    <w:p w14:paraId="53469A1E"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[5]</w:t>
      </w:r>
      <w:r w:rsidRPr="0073697F">
        <w:rPr>
          <w:rFonts w:ascii="Times New Roman" w:hAnsi="Times New Roman" w:cs="Times New Roman"/>
          <w:noProof/>
          <w:sz w:val="24"/>
          <w:szCs w:val="24"/>
        </w:rPr>
        <w:tab/>
        <w:t xml:space="preserve">P. D. L. B. Pasaribu and D. P. Ricky, “Tingkat Stres Perawat Terkait Isu Covid-19,” </w:t>
      </w:r>
      <w:r w:rsidRPr="0073697F">
        <w:rPr>
          <w:rFonts w:ascii="Times New Roman" w:hAnsi="Times New Roman" w:cs="Times New Roman"/>
          <w:i/>
          <w:iCs/>
          <w:noProof/>
          <w:sz w:val="24"/>
          <w:szCs w:val="24"/>
        </w:rPr>
        <w:t>J. Penelit. Perawat Prof.</w:t>
      </w:r>
      <w:r w:rsidRPr="0073697F">
        <w:rPr>
          <w:rFonts w:ascii="Times New Roman" w:hAnsi="Times New Roman" w:cs="Times New Roman"/>
          <w:noProof/>
          <w:sz w:val="24"/>
          <w:szCs w:val="24"/>
        </w:rPr>
        <w:t>, vol. 3, no. 2, pp. 287–294, 2021, doi: 10.37287/jppp.v3i2.429.</w:t>
      </w:r>
    </w:p>
    <w:p w14:paraId="569343C5"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[6]</w:t>
      </w:r>
      <w:r w:rsidRPr="0073697F">
        <w:rPr>
          <w:rFonts w:ascii="Times New Roman" w:hAnsi="Times New Roman" w:cs="Times New Roman"/>
          <w:noProof/>
          <w:sz w:val="24"/>
          <w:szCs w:val="24"/>
        </w:rPr>
        <w:tab/>
        <w:t>Persi, “Pelatihan Tingkat Dasar Pencegahan dan Pengendalian Infeksi,” 2022. [Online]. Available: https://persi.or.id/pelatihan-tingkat-dasar-pencegahan-dan-pengendalian-infeksi/.</w:t>
      </w:r>
    </w:p>
    <w:p w14:paraId="6A9BB25B"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[7]</w:t>
      </w:r>
      <w:r w:rsidRPr="0073697F">
        <w:rPr>
          <w:rFonts w:ascii="Times New Roman" w:hAnsi="Times New Roman" w:cs="Times New Roman"/>
          <w:noProof/>
          <w:sz w:val="24"/>
          <w:szCs w:val="24"/>
        </w:rPr>
        <w:tab/>
        <w:t xml:space="preserve">F. Dewi, “Nurse Compliance in Using Personal Protective Equipment (PPE) to Break the Chain of Transmission of Covid – 19 at RSUD Cut Meutia Aceh Utara,” </w:t>
      </w:r>
      <w:r w:rsidRPr="0073697F">
        <w:rPr>
          <w:rFonts w:ascii="Times New Roman" w:hAnsi="Times New Roman" w:cs="Times New Roman"/>
          <w:i/>
          <w:iCs/>
          <w:noProof/>
          <w:sz w:val="24"/>
          <w:szCs w:val="24"/>
        </w:rPr>
        <w:t>SEHATRAKYAT (Jurnal Kesehat. Masyarakat)</w:t>
      </w:r>
      <w:r w:rsidRPr="0073697F">
        <w:rPr>
          <w:rFonts w:ascii="Times New Roman" w:hAnsi="Times New Roman" w:cs="Times New Roman"/>
          <w:noProof/>
          <w:sz w:val="24"/>
          <w:szCs w:val="24"/>
        </w:rPr>
        <w:t xml:space="preserve">, vol. 1, no. 2, pp. 116–124, 2022, doi: </w:t>
      </w:r>
      <w:r w:rsidRPr="0073697F">
        <w:rPr>
          <w:rFonts w:ascii="Times New Roman" w:hAnsi="Times New Roman" w:cs="Times New Roman"/>
          <w:noProof/>
          <w:sz w:val="24"/>
          <w:szCs w:val="24"/>
        </w:rPr>
        <w:lastRenderedPageBreak/>
        <w:t>10.54259/sehatrakyat.v1i2.919.</w:t>
      </w:r>
    </w:p>
    <w:p w14:paraId="72164C6F"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[8]</w:t>
      </w:r>
      <w:r w:rsidRPr="0073697F">
        <w:rPr>
          <w:rFonts w:ascii="Times New Roman" w:hAnsi="Times New Roman" w:cs="Times New Roman"/>
          <w:noProof/>
          <w:sz w:val="24"/>
          <w:szCs w:val="24"/>
        </w:rPr>
        <w:tab/>
        <w:t>M. T. Rad, “The interplay between vitamin D and viral infections,” no. November 2018, pp. 1–16, 2019, doi: 10.1002/rmv.2032.</w:t>
      </w:r>
    </w:p>
    <w:p w14:paraId="5C7F366F"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[9]</w:t>
      </w:r>
      <w:r w:rsidRPr="0073697F">
        <w:rPr>
          <w:rFonts w:ascii="Times New Roman" w:hAnsi="Times New Roman" w:cs="Times New Roman"/>
          <w:noProof/>
          <w:sz w:val="24"/>
          <w:szCs w:val="24"/>
        </w:rPr>
        <w:tab/>
        <w:t xml:space="preserve">W. Rachmawati, I. B. Akbar, and Y. Susanti, “Role of Vitamin D in Adult Obese: Literature Review,” </w:t>
      </w:r>
      <w:r w:rsidRPr="0073697F">
        <w:rPr>
          <w:rFonts w:ascii="Times New Roman" w:hAnsi="Times New Roman" w:cs="Times New Roman"/>
          <w:i/>
          <w:iCs/>
          <w:noProof/>
          <w:sz w:val="24"/>
          <w:szCs w:val="24"/>
        </w:rPr>
        <w:t>Bandung Conf. Ser. Med. Sci.</w:t>
      </w:r>
      <w:r w:rsidRPr="0073697F">
        <w:rPr>
          <w:rFonts w:ascii="Times New Roman" w:hAnsi="Times New Roman" w:cs="Times New Roman"/>
          <w:noProof/>
          <w:sz w:val="24"/>
          <w:szCs w:val="24"/>
        </w:rPr>
        <w:t>, vol. 2, no. 1, pp. 113–120, 2022, doi: 10.29313/bcsms.v2i1.500.</w:t>
      </w:r>
    </w:p>
    <w:p w14:paraId="175820C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[10]</w:t>
      </w:r>
      <w:r w:rsidRPr="0073697F">
        <w:rPr>
          <w:rFonts w:ascii="Times New Roman" w:hAnsi="Times New Roman" w:cs="Times New Roman"/>
          <w:noProof/>
          <w:sz w:val="24"/>
          <w:szCs w:val="24"/>
        </w:rPr>
        <w:tab/>
        <w:t xml:space="preserve">M. Laplana, J. L. Royo, and J. Fibla, “Vitamin D Receptor polymorphisms and risk of enveloped virus infection: A meta-analysis,” </w:t>
      </w:r>
      <w:r w:rsidRPr="0073697F">
        <w:rPr>
          <w:rFonts w:ascii="Times New Roman" w:hAnsi="Times New Roman" w:cs="Times New Roman"/>
          <w:i/>
          <w:iCs/>
          <w:noProof/>
          <w:sz w:val="24"/>
          <w:szCs w:val="24"/>
        </w:rPr>
        <w:t>Gene</w:t>
      </w:r>
      <w:r w:rsidRPr="0073697F">
        <w:rPr>
          <w:rFonts w:ascii="Times New Roman" w:hAnsi="Times New Roman" w:cs="Times New Roman"/>
          <w:noProof/>
          <w:sz w:val="24"/>
          <w:szCs w:val="24"/>
        </w:rPr>
        <w:t>, vol. 678, pp. 384–394, 2018, doi: 10.1016/j.gene.2018.08.017.</w:t>
      </w:r>
    </w:p>
    <w:p w14:paraId="2AED838D"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[11]</w:t>
      </w:r>
      <w:r w:rsidRPr="0073697F">
        <w:rPr>
          <w:rFonts w:ascii="Times New Roman" w:hAnsi="Times New Roman" w:cs="Times New Roman"/>
          <w:noProof/>
          <w:sz w:val="24"/>
          <w:szCs w:val="24"/>
        </w:rPr>
        <w:tab/>
        <w:t>H. O. U. Yu, L. I. Jinghui, and D. Chao, “Vitamin D / vitamin D receptor , autophagy , and infection,” vol. 47, no. 6, pp. 0–3, 2022, doi: 10.11817/j.issn.1672-7347.2022.210556.</w:t>
      </w:r>
    </w:p>
    <w:p w14:paraId="74DC803A"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[12]</w:t>
      </w:r>
      <w:r w:rsidRPr="0073697F">
        <w:rPr>
          <w:rFonts w:ascii="Times New Roman" w:hAnsi="Times New Roman" w:cs="Times New Roman"/>
          <w:noProof/>
          <w:sz w:val="24"/>
          <w:szCs w:val="24"/>
        </w:rPr>
        <w:tab/>
        <w:t>The International Council of Nurses, “Nurses providing Infection, Prevention and Control during COVID-19,” 2021.</w:t>
      </w:r>
    </w:p>
    <w:p w14:paraId="4A302043"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[13]</w:t>
      </w:r>
      <w:r w:rsidRPr="0073697F">
        <w:rPr>
          <w:rFonts w:ascii="Times New Roman" w:hAnsi="Times New Roman" w:cs="Times New Roman"/>
          <w:noProof/>
          <w:sz w:val="24"/>
          <w:szCs w:val="24"/>
        </w:rPr>
        <w:tab/>
        <w:t xml:space="preserve">A. Yuniawan, U. Udin, A. Abdurrahman, and R. Puji Suci, “A systematic literature review of altruism: Challenges, outcomes and future research directions,” </w:t>
      </w:r>
      <w:r w:rsidRPr="0073697F">
        <w:rPr>
          <w:rFonts w:ascii="Times New Roman" w:hAnsi="Times New Roman" w:cs="Times New Roman"/>
          <w:i/>
          <w:iCs/>
          <w:noProof/>
          <w:sz w:val="24"/>
          <w:szCs w:val="24"/>
        </w:rPr>
        <w:t>Eur. Res. Stud. J.</w:t>
      </w:r>
      <w:r w:rsidRPr="0073697F">
        <w:rPr>
          <w:rFonts w:ascii="Times New Roman" w:hAnsi="Times New Roman" w:cs="Times New Roman"/>
          <w:noProof/>
          <w:sz w:val="24"/>
          <w:szCs w:val="24"/>
        </w:rPr>
        <w:t>, vol. 21, no. 4, pp. 493–501, 2018, doi: 10.35808/ersj/1137.</w:t>
      </w:r>
    </w:p>
    <w:p w14:paraId="33529976"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[14]</w:t>
      </w:r>
      <w:r w:rsidRPr="0073697F">
        <w:rPr>
          <w:rFonts w:ascii="Times New Roman" w:hAnsi="Times New Roman" w:cs="Times New Roman"/>
          <w:noProof/>
          <w:sz w:val="24"/>
          <w:szCs w:val="24"/>
        </w:rPr>
        <w:tab/>
        <w:t xml:space="preserve">Z. Munn, C. Stern, E. Aromataris, C. Lockwood, and Z. Jordan, “What kind of systematic review should i conduct? A proposed typology and guidance for systematic reviewers in the medical and health sciences,” </w:t>
      </w:r>
      <w:r w:rsidRPr="0073697F">
        <w:rPr>
          <w:rFonts w:ascii="Times New Roman" w:hAnsi="Times New Roman" w:cs="Times New Roman"/>
          <w:i/>
          <w:iCs/>
          <w:noProof/>
          <w:sz w:val="24"/>
          <w:szCs w:val="24"/>
        </w:rPr>
        <w:t>BMC Med. Res. Methodol.</w:t>
      </w:r>
      <w:r w:rsidRPr="0073697F">
        <w:rPr>
          <w:rFonts w:ascii="Times New Roman" w:hAnsi="Times New Roman" w:cs="Times New Roman"/>
          <w:noProof/>
          <w:sz w:val="24"/>
          <w:szCs w:val="24"/>
        </w:rPr>
        <w:t>, vol. 18, no. 1, pp. 1–9, 2018, doi: 10.1186/s12874-017-0468-4.</w:t>
      </w:r>
    </w:p>
    <w:p w14:paraId="02D605A9"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[15]</w:t>
      </w:r>
      <w:r w:rsidRPr="0073697F">
        <w:rPr>
          <w:rFonts w:ascii="Times New Roman" w:hAnsi="Times New Roman" w:cs="Times New Roman"/>
          <w:noProof/>
          <w:sz w:val="24"/>
          <w:szCs w:val="24"/>
        </w:rPr>
        <w:tab/>
        <w:t xml:space="preserve">C. Sohrabi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“PRISMA 2020 statement: What’s new and the importance of reporting guidelines,” </w:t>
      </w:r>
      <w:r w:rsidRPr="0073697F">
        <w:rPr>
          <w:rFonts w:ascii="Times New Roman" w:hAnsi="Times New Roman" w:cs="Times New Roman"/>
          <w:i/>
          <w:iCs/>
          <w:noProof/>
          <w:sz w:val="24"/>
          <w:szCs w:val="24"/>
        </w:rPr>
        <w:t>Int. J. Surg.</w:t>
      </w:r>
      <w:r w:rsidRPr="0073697F">
        <w:rPr>
          <w:rFonts w:ascii="Times New Roman" w:hAnsi="Times New Roman" w:cs="Times New Roman"/>
          <w:noProof/>
          <w:sz w:val="24"/>
          <w:szCs w:val="24"/>
        </w:rPr>
        <w:t>, vol. 88, no. March, pp. 39–42, 2021, doi: 10.1016/j.ijsu.2021.105918.</w:t>
      </w:r>
    </w:p>
    <w:p w14:paraId="67A3C3F0"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[16]</w:t>
      </w:r>
      <w:r w:rsidRPr="0073697F">
        <w:rPr>
          <w:rFonts w:ascii="Times New Roman" w:hAnsi="Times New Roman" w:cs="Times New Roman"/>
          <w:noProof/>
          <w:sz w:val="24"/>
          <w:szCs w:val="24"/>
        </w:rPr>
        <w:tab/>
        <w:t xml:space="preserve">L. Huss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“Vitamin D receptor expression in invasive breast tumors and breast cancer survival,” </w:t>
      </w:r>
      <w:r w:rsidRPr="0073697F">
        <w:rPr>
          <w:rFonts w:ascii="Times New Roman" w:hAnsi="Times New Roman" w:cs="Times New Roman"/>
          <w:i/>
          <w:iCs/>
          <w:noProof/>
          <w:sz w:val="24"/>
          <w:szCs w:val="24"/>
        </w:rPr>
        <w:t>Breast Cancer Res.</w:t>
      </w:r>
      <w:r w:rsidRPr="0073697F">
        <w:rPr>
          <w:rFonts w:ascii="Times New Roman" w:hAnsi="Times New Roman" w:cs="Times New Roman"/>
          <w:noProof/>
          <w:sz w:val="24"/>
          <w:szCs w:val="24"/>
        </w:rPr>
        <w:t>, vol. 21, no. 1, pp. 1–13, 2019, doi: 10.1186/s13058-019-1169-1.</w:t>
      </w:r>
    </w:p>
    <w:p w14:paraId="10A0BA17"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[17]</w:t>
      </w:r>
      <w:r w:rsidRPr="0073697F">
        <w:rPr>
          <w:rFonts w:ascii="Times New Roman" w:hAnsi="Times New Roman" w:cs="Times New Roman"/>
          <w:noProof/>
          <w:sz w:val="24"/>
          <w:szCs w:val="24"/>
        </w:rPr>
        <w:tab/>
        <w:t xml:space="preserve">M. Yu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“Vitamin D receptor inhibits EMT via regulation of the epithelial mitochondrial function in intestinal fibrosis,” </w:t>
      </w:r>
      <w:r w:rsidRPr="0073697F">
        <w:rPr>
          <w:rFonts w:ascii="Times New Roman" w:hAnsi="Times New Roman" w:cs="Times New Roman"/>
          <w:i/>
          <w:iCs/>
          <w:noProof/>
          <w:sz w:val="24"/>
          <w:szCs w:val="24"/>
        </w:rPr>
        <w:t>J. Biol. Chem.</w:t>
      </w:r>
      <w:r w:rsidRPr="0073697F">
        <w:rPr>
          <w:rFonts w:ascii="Times New Roman" w:hAnsi="Times New Roman" w:cs="Times New Roman"/>
          <w:noProof/>
          <w:sz w:val="24"/>
          <w:szCs w:val="24"/>
        </w:rPr>
        <w:t>, vol. 296, p. 100531, 2021, doi: 10.1016/j.jbc.2021.100531.</w:t>
      </w:r>
    </w:p>
    <w:p w14:paraId="010FBE0E"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[18]</w:t>
      </w:r>
      <w:r w:rsidRPr="0073697F">
        <w:rPr>
          <w:rFonts w:ascii="Times New Roman" w:hAnsi="Times New Roman" w:cs="Times New Roman"/>
          <w:noProof/>
          <w:sz w:val="24"/>
          <w:szCs w:val="24"/>
        </w:rPr>
        <w:tab/>
        <w:t xml:space="preserve">J. Sun and Y. G. Zhang, “Vitamin D Receptor Influences Intestinal Barriers in Health and Disease,” </w:t>
      </w:r>
      <w:r w:rsidRPr="0073697F">
        <w:rPr>
          <w:rFonts w:ascii="Times New Roman" w:hAnsi="Times New Roman" w:cs="Times New Roman"/>
          <w:i/>
          <w:iCs/>
          <w:noProof/>
          <w:sz w:val="24"/>
          <w:szCs w:val="24"/>
        </w:rPr>
        <w:t>Cells</w:t>
      </w:r>
      <w:r w:rsidRPr="0073697F">
        <w:rPr>
          <w:rFonts w:ascii="Times New Roman" w:hAnsi="Times New Roman" w:cs="Times New Roman"/>
          <w:noProof/>
          <w:sz w:val="24"/>
          <w:szCs w:val="24"/>
        </w:rPr>
        <w:t>, vol. 11, no. 7, pp. 1–23, 2022, doi: 10.3390/cells11071129.</w:t>
      </w:r>
    </w:p>
    <w:p w14:paraId="53FACD51"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[19]</w:t>
      </w:r>
      <w:r w:rsidRPr="0073697F">
        <w:rPr>
          <w:rFonts w:ascii="Times New Roman" w:hAnsi="Times New Roman" w:cs="Times New Roman"/>
          <w:noProof/>
          <w:sz w:val="24"/>
          <w:szCs w:val="24"/>
        </w:rPr>
        <w:tab/>
        <w:t xml:space="preserve">B. Zhao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“LPS-induced Vitamin D Receptor Decrease in Oral Keratinocytes Is Associated with Oral Lichen Planus,” </w:t>
      </w:r>
      <w:r w:rsidRPr="0073697F">
        <w:rPr>
          <w:rFonts w:ascii="Times New Roman" w:hAnsi="Times New Roman" w:cs="Times New Roman"/>
          <w:i/>
          <w:iCs/>
          <w:noProof/>
          <w:sz w:val="24"/>
          <w:szCs w:val="24"/>
        </w:rPr>
        <w:t>Sci. Rep.</w:t>
      </w:r>
      <w:r w:rsidRPr="0073697F">
        <w:rPr>
          <w:rFonts w:ascii="Times New Roman" w:hAnsi="Times New Roman" w:cs="Times New Roman"/>
          <w:noProof/>
          <w:sz w:val="24"/>
          <w:szCs w:val="24"/>
        </w:rPr>
        <w:t xml:space="preserve">, vol. 8, no. 1, pp. 1–9, 2018, doi: </w:t>
      </w:r>
      <w:r w:rsidRPr="0073697F">
        <w:rPr>
          <w:rFonts w:ascii="Times New Roman" w:hAnsi="Times New Roman" w:cs="Times New Roman"/>
          <w:noProof/>
          <w:sz w:val="24"/>
          <w:szCs w:val="24"/>
        </w:rPr>
        <w:lastRenderedPageBreak/>
        <w:t>10.1038/s41598-018-19234-z.</w:t>
      </w:r>
    </w:p>
    <w:p w14:paraId="57A3790A"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[20]</w:t>
      </w:r>
      <w:r w:rsidRPr="0073697F">
        <w:rPr>
          <w:rFonts w:ascii="Times New Roman" w:hAnsi="Times New Roman" w:cs="Times New Roman"/>
          <w:noProof/>
          <w:sz w:val="24"/>
          <w:szCs w:val="24"/>
        </w:rPr>
        <w:tab/>
        <w:t xml:space="preserve">D. A. Jolliffe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“Vitamin D receptor genotype influences risk of upper respiratory infection,” </w:t>
      </w:r>
      <w:r w:rsidRPr="0073697F">
        <w:rPr>
          <w:rFonts w:ascii="Times New Roman" w:hAnsi="Times New Roman" w:cs="Times New Roman"/>
          <w:i/>
          <w:iCs/>
          <w:noProof/>
          <w:sz w:val="24"/>
          <w:szCs w:val="24"/>
        </w:rPr>
        <w:t>Br. J. Nutr.</w:t>
      </w:r>
      <w:r w:rsidRPr="0073697F">
        <w:rPr>
          <w:rFonts w:ascii="Times New Roman" w:hAnsi="Times New Roman" w:cs="Times New Roman"/>
          <w:noProof/>
          <w:sz w:val="24"/>
          <w:szCs w:val="24"/>
        </w:rPr>
        <w:t>, vol. 120, no. 8, pp. 881–890, 2018, doi: 10.1017/S000711451800209X.</w:t>
      </w:r>
    </w:p>
    <w:p w14:paraId="3567470E"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[21]</w:t>
      </w:r>
      <w:r w:rsidRPr="0073697F">
        <w:rPr>
          <w:rFonts w:ascii="Times New Roman" w:hAnsi="Times New Roman" w:cs="Times New Roman"/>
          <w:noProof/>
          <w:sz w:val="24"/>
          <w:szCs w:val="24"/>
        </w:rPr>
        <w:tab/>
        <w:t xml:space="preserve">A. Febriza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“The Role of IL-6, TNF-α, and VDR in Inhibiting the Growth of Salmonella Typhi: in vivo Study,” </w:t>
      </w:r>
      <w:r w:rsidRPr="0073697F">
        <w:rPr>
          <w:rFonts w:ascii="Times New Roman" w:hAnsi="Times New Roman" w:cs="Times New Roman"/>
          <w:i/>
          <w:iCs/>
          <w:noProof/>
          <w:sz w:val="24"/>
          <w:szCs w:val="24"/>
        </w:rPr>
        <w:t>Open Microbiol. J.</w:t>
      </w:r>
      <w:r w:rsidRPr="0073697F">
        <w:rPr>
          <w:rFonts w:ascii="Times New Roman" w:hAnsi="Times New Roman" w:cs="Times New Roman"/>
          <w:noProof/>
          <w:sz w:val="24"/>
          <w:szCs w:val="24"/>
        </w:rPr>
        <w:t>, vol. 14, no. 1, pp. 65–71, 2020, doi: 10.2174/1874285802014010065.</w:t>
      </w:r>
    </w:p>
    <w:p w14:paraId="561DB66E"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[22]</w:t>
      </w:r>
      <w:r w:rsidRPr="0073697F">
        <w:rPr>
          <w:rFonts w:ascii="Times New Roman" w:hAnsi="Times New Roman" w:cs="Times New Roman"/>
          <w:noProof/>
          <w:sz w:val="24"/>
          <w:szCs w:val="24"/>
        </w:rPr>
        <w:tab/>
        <w:t xml:space="preserve">I. S. Wardani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“Serum vitamin D receptor and High Mobility Group Box-1 (HMGB1) levels in HIV-infected patients with different immunodeficiency status: A cross-sectional study,” </w:t>
      </w:r>
      <w:r w:rsidRPr="0073697F">
        <w:rPr>
          <w:rFonts w:ascii="Times New Roman" w:hAnsi="Times New Roman" w:cs="Times New Roman"/>
          <w:i/>
          <w:iCs/>
          <w:noProof/>
          <w:sz w:val="24"/>
          <w:szCs w:val="24"/>
        </w:rPr>
        <w:t>Ann. Med. Surg.</w:t>
      </w:r>
      <w:r w:rsidRPr="0073697F">
        <w:rPr>
          <w:rFonts w:ascii="Times New Roman" w:hAnsi="Times New Roman" w:cs="Times New Roman"/>
          <w:noProof/>
          <w:sz w:val="24"/>
          <w:szCs w:val="24"/>
        </w:rPr>
        <w:t>, vol. 63, no. February, p. 102174, 2021, doi: 10.1016/j.amsu.2021.02.020.</w:t>
      </w:r>
    </w:p>
    <w:p w14:paraId="4CEC8BB4"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[23]</w:t>
      </w:r>
      <w:r w:rsidRPr="0073697F">
        <w:rPr>
          <w:rFonts w:ascii="Times New Roman" w:hAnsi="Times New Roman" w:cs="Times New Roman"/>
          <w:noProof/>
          <w:sz w:val="24"/>
          <w:szCs w:val="24"/>
        </w:rPr>
        <w:tab/>
        <w:t xml:space="preserve">M. A. Abdel-Mohsen, A. A. A. El-Braky, A. A. E. R. Ghazal, and M. M. Shamseya, “Autophagy, apoptosis, Vitamin D, and Vitamin D receptor in hepatocellular carcinoma associated with hepatitis C virus,” </w:t>
      </w:r>
      <w:r w:rsidRPr="0073697F">
        <w:rPr>
          <w:rFonts w:ascii="Times New Roman" w:hAnsi="Times New Roman" w:cs="Times New Roman"/>
          <w:i/>
          <w:iCs/>
          <w:noProof/>
          <w:sz w:val="24"/>
          <w:szCs w:val="24"/>
        </w:rPr>
        <w:t>Med. (United States)</w:t>
      </w:r>
      <w:r w:rsidRPr="0073697F">
        <w:rPr>
          <w:rFonts w:ascii="Times New Roman" w:hAnsi="Times New Roman" w:cs="Times New Roman"/>
          <w:noProof/>
          <w:sz w:val="24"/>
          <w:szCs w:val="24"/>
        </w:rPr>
        <w:t>, vol. 97, no. 12, 2018, doi: 10.1097/MD.0000000000010172.</w:t>
      </w:r>
    </w:p>
    <w:p w14:paraId="29B847E4"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[24]</w:t>
      </w:r>
      <w:r w:rsidRPr="0073697F">
        <w:rPr>
          <w:rFonts w:ascii="Times New Roman" w:hAnsi="Times New Roman" w:cs="Times New Roman"/>
          <w:noProof/>
          <w:sz w:val="24"/>
          <w:szCs w:val="24"/>
        </w:rPr>
        <w:tab/>
        <w:t>O. Guzeeva, I. Melnikova, V. Larionova, V. Novikova, and K. Diana, “Level Of 25(Oh)-Vitamin D And Vitamin D Receptor (VDR) Gene Polymorphisms In Adolescents With Chronic Gastroduodenitis,” vol. 25, no. Suppl 3, p. 2019, 2019.</w:t>
      </w:r>
    </w:p>
    <w:p w14:paraId="1DAAC4F4"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[25]</w:t>
      </w:r>
      <w:r w:rsidRPr="0073697F">
        <w:rPr>
          <w:rFonts w:ascii="Times New Roman" w:hAnsi="Times New Roman" w:cs="Times New Roman"/>
          <w:noProof/>
          <w:sz w:val="24"/>
          <w:szCs w:val="24"/>
        </w:rPr>
        <w:tab/>
        <w:t xml:space="preserve">X. Wang and Z. Cheng, “Cross-Sectional Studies,” </w:t>
      </w:r>
      <w:r w:rsidRPr="0073697F">
        <w:rPr>
          <w:rFonts w:ascii="Times New Roman" w:hAnsi="Times New Roman" w:cs="Times New Roman"/>
          <w:i/>
          <w:iCs/>
          <w:noProof/>
          <w:sz w:val="24"/>
          <w:szCs w:val="24"/>
        </w:rPr>
        <w:t>Chest</w:t>
      </w:r>
      <w:r w:rsidRPr="0073697F">
        <w:rPr>
          <w:rFonts w:ascii="Times New Roman" w:hAnsi="Times New Roman" w:cs="Times New Roman"/>
          <w:noProof/>
          <w:sz w:val="24"/>
          <w:szCs w:val="24"/>
        </w:rPr>
        <w:t>, vol. 158, no. 1, pp. S65–S71, 2020, doi: 10.1016/j.chest.2020.03.012.</w:t>
      </w:r>
    </w:p>
    <w:p w14:paraId="3B52974A"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[26]</w:t>
      </w:r>
      <w:r w:rsidRPr="0073697F">
        <w:rPr>
          <w:rFonts w:ascii="Times New Roman" w:hAnsi="Times New Roman" w:cs="Times New Roman"/>
          <w:noProof/>
          <w:sz w:val="24"/>
          <w:szCs w:val="24"/>
        </w:rPr>
        <w:tab/>
        <w:t>U. S. Kesmodel, “Cross-sectional studies – what are they good for ?,” vol. 97, pp. 388–393, 2018, doi: 10.1111/aogs.13331.</w:t>
      </w:r>
    </w:p>
    <w:p w14:paraId="6A82B2C5"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[27]</w:t>
      </w:r>
      <w:r w:rsidRPr="0073697F">
        <w:rPr>
          <w:rFonts w:ascii="Times New Roman" w:hAnsi="Times New Roman" w:cs="Times New Roman"/>
          <w:noProof/>
          <w:sz w:val="24"/>
          <w:szCs w:val="24"/>
        </w:rPr>
        <w:tab/>
        <w:t>P. Summary, “Effects of Vitamin D on COVID-19 Infection and Prognosis : A Systematic Review,” pp. 31–38, 2021.</w:t>
      </w:r>
    </w:p>
    <w:p w14:paraId="331114F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[28]</w:t>
      </w:r>
      <w:r w:rsidRPr="0073697F">
        <w:rPr>
          <w:rFonts w:ascii="Times New Roman" w:hAnsi="Times New Roman" w:cs="Times New Roman"/>
          <w:noProof/>
          <w:sz w:val="24"/>
          <w:szCs w:val="24"/>
        </w:rPr>
        <w:tab/>
        <w:t xml:space="preserve">M. S. Elkhwanky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“Obesity Represses CYP2R1, the Vitamin D 25-Hydroxylase, in the Liver and Extrahepatic Tissues,” </w:t>
      </w:r>
      <w:r w:rsidRPr="0073697F">
        <w:rPr>
          <w:rFonts w:ascii="Times New Roman" w:hAnsi="Times New Roman" w:cs="Times New Roman"/>
          <w:i/>
          <w:iCs/>
          <w:noProof/>
          <w:sz w:val="24"/>
          <w:szCs w:val="24"/>
        </w:rPr>
        <w:t>JBMR Plus</w:t>
      </w:r>
      <w:r w:rsidRPr="0073697F">
        <w:rPr>
          <w:rFonts w:ascii="Times New Roman" w:hAnsi="Times New Roman" w:cs="Times New Roman"/>
          <w:noProof/>
          <w:sz w:val="24"/>
          <w:szCs w:val="24"/>
        </w:rPr>
        <w:t>, vol. 4, no. 11, pp. 1–14, 2020, doi: 10.1002/jbm4.10397.</w:t>
      </w:r>
    </w:p>
    <w:p w14:paraId="315D588A"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[29]</w:t>
      </w:r>
      <w:r w:rsidRPr="0073697F">
        <w:rPr>
          <w:rFonts w:ascii="Times New Roman" w:hAnsi="Times New Roman" w:cs="Times New Roman"/>
          <w:noProof/>
          <w:sz w:val="24"/>
          <w:szCs w:val="24"/>
        </w:rPr>
        <w:tab/>
        <w:t xml:space="preserve">M. T. Cantorna, C. J. Rogers, and J. Arora, “Aligning the Paradoxical Role of Vitamin D in Gastrointestinal Immunity,” </w:t>
      </w:r>
      <w:r w:rsidRPr="0073697F">
        <w:rPr>
          <w:rFonts w:ascii="Times New Roman" w:hAnsi="Times New Roman" w:cs="Times New Roman"/>
          <w:i/>
          <w:iCs/>
          <w:noProof/>
          <w:sz w:val="24"/>
          <w:szCs w:val="24"/>
        </w:rPr>
        <w:t>Trends Endocrinol. Metab.</w:t>
      </w:r>
      <w:r w:rsidRPr="0073697F">
        <w:rPr>
          <w:rFonts w:ascii="Times New Roman" w:hAnsi="Times New Roman" w:cs="Times New Roman"/>
          <w:noProof/>
          <w:sz w:val="24"/>
          <w:szCs w:val="24"/>
        </w:rPr>
        <w:t>, pp. 1–8, 2019, doi: 10.1016/j.tem.2019.04.005.</w:t>
      </w:r>
    </w:p>
    <w:p w14:paraId="651A6AB1"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[30]</w:t>
      </w:r>
      <w:r w:rsidRPr="0073697F">
        <w:rPr>
          <w:rFonts w:ascii="Times New Roman" w:hAnsi="Times New Roman" w:cs="Times New Roman"/>
          <w:noProof/>
          <w:sz w:val="24"/>
          <w:szCs w:val="24"/>
        </w:rPr>
        <w:tab/>
        <w:t xml:space="preserve">P. Bergman, “The link between vitamin D and COVID-19: distinguishing facts from fiction,” </w:t>
      </w:r>
      <w:r w:rsidRPr="0073697F">
        <w:rPr>
          <w:rFonts w:ascii="Times New Roman" w:hAnsi="Times New Roman" w:cs="Times New Roman"/>
          <w:i/>
          <w:iCs/>
          <w:noProof/>
          <w:sz w:val="24"/>
          <w:szCs w:val="24"/>
        </w:rPr>
        <w:t>J. Intern. Med.</w:t>
      </w:r>
      <w:r w:rsidRPr="0073697F">
        <w:rPr>
          <w:rFonts w:ascii="Times New Roman" w:hAnsi="Times New Roman" w:cs="Times New Roman"/>
          <w:noProof/>
          <w:sz w:val="24"/>
          <w:szCs w:val="24"/>
        </w:rPr>
        <w:t>, vol. 289, no. 1, pp. 131–133, 2021, doi: 10.1111/joim.13158.</w:t>
      </w:r>
    </w:p>
    <w:p w14:paraId="417BE9DC"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[31]</w:t>
      </w:r>
      <w:r w:rsidRPr="0073697F">
        <w:rPr>
          <w:rFonts w:ascii="Times New Roman" w:hAnsi="Times New Roman" w:cs="Times New Roman"/>
          <w:noProof/>
          <w:sz w:val="24"/>
          <w:szCs w:val="24"/>
        </w:rPr>
        <w:tab/>
        <w:t xml:space="preserve">Z. Lin </w:t>
      </w:r>
      <w:r w:rsidRPr="0073697F">
        <w:rPr>
          <w:rFonts w:ascii="Times New Roman" w:hAnsi="Times New Roman" w:cs="Times New Roman"/>
          <w:i/>
          <w:iCs/>
          <w:noProof/>
          <w:sz w:val="24"/>
          <w:szCs w:val="24"/>
        </w:rPr>
        <w:t>et al.</w:t>
      </w:r>
      <w:r w:rsidRPr="0073697F">
        <w:rPr>
          <w:rFonts w:ascii="Times New Roman" w:hAnsi="Times New Roman" w:cs="Times New Roman"/>
          <w:noProof/>
          <w:sz w:val="24"/>
          <w:szCs w:val="24"/>
        </w:rPr>
        <w:t xml:space="preserve">, “Investigation of 20 S - hydroxyvitamin D 3 analogs and their 1 α -OH </w:t>
      </w:r>
      <w:r w:rsidRPr="0073697F">
        <w:rPr>
          <w:rFonts w:ascii="Times New Roman" w:hAnsi="Times New Roman" w:cs="Times New Roman"/>
          <w:noProof/>
          <w:sz w:val="24"/>
          <w:szCs w:val="24"/>
        </w:rPr>
        <w:lastRenderedPageBreak/>
        <w:t>derivatives as potent vitamin D receptor agonists with anti-inflammatory activities,” no. September 2017, pp. 1–11, 2018, doi: 10.1038/s41598-018-19183-7.</w:t>
      </w:r>
    </w:p>
    <w:p w14:paraId="49C7636E"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[32]</w:t>
      </w:r>
      <w:r w:rsidRPr="0073697F">
        <w:rPr>
          <w:rFonts w:ascii="Times New Roman" w:hAnsi="Times New Roman" w:cs="Times New Roman"/>
          <w:noProof/>
          <w:sz w:val="24"/>
          <w:szCs w:val="24"/>
        </w:rPr>
        <w:tab/>
        <w:t>S. Muralidhar, A. Filia, and J. Nsengimana, “This is a repository copy of Vitamin D-VDR signaling inhibits Wnt / beta-catenin-mediated melanoma progression and promotes anti-tumor immunity . White Rose Research Online URL for this paper : Version : Accepted Version Article : Muralidhar , S , Filia ,” 2019.</w:t>
      </w:r>
    </w:p>
    <w:p w14:paraId="013E49E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[33]</w:t>
      </w:r>
      <w:r w:rsidRPr="0073697F">
        <w:rPr>
          <w:rFonts w:ascii="Times New Roman" w:hAnsi="Times New Roman" w:cs="Times New Roman"/>
          <w:noProof/>
          <w:sz w:val="24"/>
          <w:szCs w:val="24"/>
        </w:rPr>
        <w:tab/>
        <w:t xml:space="preserve">A. B. Al-Ghafari, K. S. Balamash, and H. A. Al Doghaither, “Serum vitamin D receptor (VDR) levels as a potential diagnostic marker for colorectal cancer,” </w:t>
      </w:r>
      <w:r w:rsidRPr="0073697F">
        <w:rPr>
          <w:rFonts w:ascii="Times New Roman" w:hAnsi="Times New Roman" w:cs="Times New Roman"/>
          <w:i/>
          <w:iCs/>
          <w:noProof/>
          <w:sz w:val="24"/>
          <w:szCs w:val="24"/>
        </w:rPr>
        <w:t>Saudi J. Biol. Sci.</w:t>
      </w:r>
      <w:r w:rsidRPr="0073697F">
        <w:rPr>
          <w:rFonts w:ascii="Times New Roman" w:hAnsi="Times New Roman" w:cs="Times New Roman"/>
          <w:noProof/>
          <w:sz w:val="24"/>
          <w:szCs w:val="24"/>
        </w:rPr>
        <w:t>, vol. 27, no. 3, pp. 827–832, 2020, doi: 10.1016/j.sjbs.2020.01.006.</w:t>
      </w:r>
    </w:p>
    <w:p w14:paraId="4DA50B30"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[34]</w:t>
      </w:r>
      <w:r w:rsidRPr="0073697F">
        <w:rPr>
          <w:rFonts w:ascii="Times New Roman" w:hAnsi="Times New Roman" w:cs="Times New Roman"/>
          <w:noProof/>
          <w:sz w:val="24"/>
          <w:szCs w:val="24"/>
        </w:rPr>
        <w:tab/>
        <w:t xml:space="preserve">X. Xu and M. Shen, “Associations between vitamin D receptor genetic variants and tuberculosis: a meta-analysis,” </w:t>
      </w:r>
      <w:r w:rsidRPr="0073697F">
        <w:rPr>
          <w:rFonts w:ascii="Times New Roman" w:hAnsi="Times New Roman" w:cs="Times New Roman"/>
          <w:i/>
          <w:iCs/>
          <w:noProof/>
          <w:sz w:val="24"/>
          <w:szCs w:val="24"/>
        </w:rPr>
        <w:t>Innate Immun.</w:t>
      </w:r>
      <w:r w:rsidRPr="0073697F">
        <w:rPr>
          <w:rFonts w:ascii="Times New Roman" w:hAnsi="Times New Roman" w:cs="Times New Roman"/>
          <w:noProof/>
          <w:sz w:val="24"/>
          <w:szCs w:val="24"/>
        </w:rPr>
        <w:t>, vol. 25, no. 5, pp. 305–313, 2019, doi: 10.1177/1753425919842643.</w:t>
      </w:r>
    </w:p>
    <w:p w14:paraId="4FAB1118"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[35]</w:t>
      </w:r>
      <w:r w:rsidRPr="0073697F">
        <w:rPr>
          <w:rFonts w:ascii="Times New Roman" w:hAnsi="Times New Roman" w:cs="Times New Roman"/>
          <w:noProof/>
          <w:sz w:val="24"/>
          <w:szCs w:val="24"/>
        </w:rPr>
        <w:tab/>
        <w:t xml:space="preserve">J. Sun, “Dietary Vitamin D, Vitamin D Receptor, and Microbiome,” </w:t>
      </w:r>
      <w:r w:rsidRPr="0073697F">
        <w:rPr>
          <w:rFonts w:ascii="Times New Roman" w:hAnsi="Times New Roman" w:cs="Times New Roman"/>
          <w:i/>
          <w:iCs/>
          <w:noProof/>
          <w:sz w:val="24"/>
          <w:szCs w:val="24"/>
        </w:rPr>
        <w:t>Physiol. Behav.</w:t>
      </w:r>
      <w:r w:rsidRPr="0073697F">
        <w:rPr>
          <w:rFonts w:ascii="Times New Roman" w:hAnsi="Times New Roman" w:cs="Times New Roman"/>
          <w:noProof/>
          <w:sz w:val="24"/>
          <w:szCs w:val="24"/>
        </w:rPr>
        <w:t>, vol. 176, no. 1, pp. 139–148, 2018, doi: 10.1097/MCO.0000000000000516.Dietary.</w:t>
      </w:r>
    </w:p>
    <w:p w14:paraId="70BBB728"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[36]</w:t>
      </w:r>
      <w:r w:rsidRPr="0073697F">
        <w:rPr>
          <w:rFonts w:ascii="Times New Roman" w:hAnsi="Times New Roman" w:cs="Times New Roman"/>
          <w:noProof/>
          <w:sz w:val="24"/>
          <w:szCs w:val="24"/>
        </w:rPr>
        <w:tab/>
        <w:t>N. Latic and R. G. Erben, “Vitamin D and Cardiovascular Disease , with Emphasis on Hypertension , Atherosclerosis , and Heart Failure,” vol. 25, 2020.</w:t>
      </w:r>
    </w:p>
    <w:p w14:paraId="6C6E79E2"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[37]</w:t>
      </w:r>
      <w:r w:rsidRPr="0073697F">
        <w:rPr>
          <w:rFonts w:ascii="Times New Roman" w:hAnsi="Times New Roman" w:cs="Times New Roman"/>
          <w:noProof/>
          <w:sz w:val="24"/>
          <w:szCs w:val="24"/>
        </w:rPr>
        <w:tab/>
        <w:t>D. Bakke and J. Sun, “Ancient Nuclear Receptor VDR With New Functions : Microbiome and Inflammation,” vol. 24, no. 6, pp. 1149–1154, 2018, doi: 10.1093/ibd/izy092.</w:t>
      </w:r>
    </w:p>
    <w:p w14:paraId="6546B2C8" w14:textId="77777777" w:rsidR="0073697F" w:rsidRPr="0073697F" w:rsidRDefault="0073697F" w:rsidP="0073697F">
      <w:pPr>
        <w:widowControl w:val="0"/>
        <w:autoSpaceDE w:val="0"/>
        <w:autoSpaceDN w:val="0"/>
        <w:adjustRightInd w:val="0"/>
        <w:ind w:left="640" w:hanging="640"/>
        <w:jc w:val="both"/>
        <w:rPr>
          <w:rFonts w:ascii="Times New Roman" w:hAnsi="Times New Roman" w:cs="Times New Roman"/>
          <w:noProof/>
          <w:sz w:val="24"/>
          <w:szCs w:val="24"/>
        </w:rPr>
      </w:pPr>
      <w:r w:rsidRPr="0073697F">
        <w:rPr>
          <w:rFonts w:ascii="Times New Roman" w:hAnsi="Times New Roman" w:cs="Times New Roman"/>
          <w:noProof/>
          <w:sz w:val="24"/>
          <w:szCs w:val="24"/>
        </w:rPr>
        <w:t>[38]</w:t>
      </w:r>
      <w:r w:rsidRPr="0073697F">
        <w:rPr>
          <w:rFonts w:ascii="Times New Roman" w:hAnsi="Times New Roman" w:cs="Times New Roman"/>
          <w:noProof/>
          <w:sz w:val="24"/>
          <w:szCs w:val="24"/>
        </w:rPr>
        <w:tab/>
      </w:r>
      <w:r w:rsidRPr="0073697F">
        <w:rPr>
          <w:rFonts w:ascii="Times New Roman" w:eastAsia="Times New Roman" w:hAnsi="Times New Roman" w:cs="Times New Roman"/>
          <w:sz w:val="24"/>
          <w:szCs w:val="24"/>
        </w:rPr>
        <w:t xml:space="preserve">K. M. O’Brien, D. P. Sandler, Z. Xu, H. K. </w:t>
      </w:r>
      <w:proofErr w:type="spellStart"/>
      <w:r w:rsidRPr="0073697F">
        <w:rPr>
          <w:rFonts w:ascii="Times New Roman" w:eastAsia="Times New Roman" w:hAnsi="Times New Roman" w:cs="Times New Roman"/>
          <w:sz w:val="24"/>
          <w:szCs w:val="24"/>
        </w:rPr>
        <w:t>Kinyamu</w:t>
      </w:r>
      <w:proofErr w:type="spellEnd"/>
      <w:r w:rsidRPr="0073697F">
        <w:rPr>
          <w:rFonts w:ascii="Times New Roman" w:eastAsia="Times New Roman" w:hAnsi="Times New Roman" w:cs="Times New Roman"/>
          <w:sz w:val="24"/>
          <w:szCs w:val="24"/>
        </w:rPr>
        <w:t xml:space="preserve">, J. A. Taylor, and C. R. Weinberg, “Vitamin D, DNA methylation, and breast cancer,” </w:t>
      </w:r>
      <w:r w:rsidRPr="0073697F">
        <w:rPr>
          <w:rFonts w:ascii="Times New Roman" w:eastAsia="Times New Roman" w:hAnsi="Times New Roman" w:cs="Times New Roman"/>
          <w:i/>
          <w:iCs/>
          <w:sz w:val="24"/>
          <w:szCs w:val="24"/>
        </w:rPr>
        <w:t>Breast Cancer Research</w:t>
      </w:r>
      <w:r w:rsidRPr="0073697F">
        <w:rPr>
          <w:rFonts w:ascii="Times New Roman" w:eastAsia="Times New Roman" w:hAnsi="Times New Roman" w:cs="Times New Roman"/>
          <w:sz w:val="24"/>
          <w:szCs w:val="24"/>
        </w:rPr>
        <w:t xml:space="preserve">, vol. 20, no. 1, Jul. 2018, </w:t>
      </w:r>
      <w:proofErr w:type="spellStart"/>
      <w:r w:rsidRPr="0073697F">
        <w:rPr>
          <w:rFonts w:ascii="Times New Roman" w:eastAsia="Times New Roman" w:hAnsi="Times New Roman" w:cs="Times New Roman"/>
          <w:sz w:val="24"/>
          <w:szCs w:val="24"/>
        </w:rPr>
        <w:t>doi</w:t>
      </w:r>
      <w:proofErr w:type="spellEnd"/>
      <w:r w:rsidRPr="0073697F">
        <w:rPr>
          <w:rFonts w:ascii="Times New Roman" w:eastAsia="Times New Roman" w:hAnsi="Times New Roman" w:cs="Times New Roman"/>
          <w:sz w:val="24"/>
          <w:szCs w:val="24"/>
        </w:rPr>
        <w:t>: 10.1186/s13058-018-0994-y.</w:t>
      </w:r>
    </w:p>
    <w:p w14:paraId="1CD2A577" w14:textId="40C30279" w:rsidR="0073697F" w:rsidRPr="0073697F" w:rsidRDefault="0073697F" w:rsidP="0073697F">
      <w:pPr>
        <w:widowControl w:val="0"/>
        <w:autoSpaceDE w:val="0"/>
        <w:autoSpaceDN w:val="0"/>
        <w:adjustRightInd w:val="0"/>
        <w:ind w:left="640" w:hanging="640"/>
        <w:jc w:val="center"/>
        <w:rPr>
          <w:rFonts w:ascii="Times New Roman" w:hAnsi="Times New Roman" w:cs="Times New Roman"/>
          <w:b/>
          <w:bCs/>
          <w:sz w:val="24"/>
          <w:szCs w:val="24"/>
        </w:rPr>
      </w:pPr>
      <w:r w:rsidRPr="0073697F">
        <w:rPr>
          <w:rFonts w:ascii="Times New Roman" w:hAnsi="Times New Roman" w:cs="Times New Roman"/>
          <w:sz w:val="24"/>
          <w:szCs w:val="24"/>
        </w:rPr>
        <w:fldChar w:fldCharType="end"/>
      </w:r>
      <w:r w:rsidRPr="0073697F">
        <w:rPr>
          <w:rFonts w:ascii="Times New Roman" w:hAnsi="Times New Roman" w:cs="Times New Roman"/>
          <w:b/>
          <w:bCs/>
          <w:sz w:val="24"/>
          <w:szCs w:val="24"/>
        </w:rPr>
        <w:t xml:space="preserve"> </w:t>
      </w:r>
      <w:r w:rsidRPr="0073697F">
        <w:rPr>
          <w:rFonts w:ascii="Times New Roman" w:hAnsi="Times New Roman" w:cs="Times New Roman"/>
          <w:b/>
          <w:bCs/>
          <w:sz w:val="24"/>
          <w:szCs w:val="24"/>
        </w:rPr>
        <w:t>Table. 1 Grid Synthesis of VDR Role Description</w:t>
      </w:r>
    </w:p>
    <w:tbl>
      <w:tblPr>
        <w:tblStyle w:val="TableGrid"/>
        <w:tblW w:w="5000" w:type="pct"/>
        <w:tblLook w:val="04A0" w:firstRow="1" w:lastRow="0" w:firstColumn="1" w:lastColumn="0" w:noHBand="0" w:noVBand="1"/>
      </w:tblPr>
      <w:tblGrid>
        <w:gridCol w:w="502"/>
        <w:gridCol w:w="1573"/>
        <w:gridCol w:w="1474"/>
        <w:gridCol w:w="1968"/>
        <w:gridCol w:w="1761"/>
        <w:gridCol w:w="2072"/>
      </w:tblGrid>
      <w:tr w:rsidR="0073697F" w:rsidRPr="0073697F" w14:paraId="461A23CE" w14:textId="77777777" w:rsidTr="0073697F">
        <w:tc>
          <w:tcPr>
            <w:tcW w:w="188" w:type="pct"/>
            <w:vAlign w:val="center"/>
          </w:tcPr>
          <w:p w14:paraId="02E40FB2"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No</w:t>
            </w:r>
          </w:p>
        </w:tc>
        <w:tc>
          <w:tcPr>
            <w:tcW w:w="530" w:type="pct"/>
            <w:vAlign w:val="center"/>
          </w:tcPr>
          <w:p w14:paraId="023ADD7C"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Researcher &amp; Research Location</w:t>
            </w:r>
          </w:p>
        </w:tc>
        <w:tc>
          <w:tcPr>
            <w:tcW w:w="553" w:type="pct"/>
            <w:vAlign w:val="center"/>
          </w:tcPr>
          <w:p w14:paraId="274F8BE8"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Research Design</w:t>
            </w:r>
          </w:p>
        </w:tc>
        <w:tc>
          <w:tcPr>
            <w:tcW w:w="885" w:type="pct"/>
            <w:vAlign w:val="center"/>
          </w:tcPr>
          <w:p w14:paraId="31B7140D"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Objectives</w:t>
            </w:r>
          </w:p>
        </w:tc>
        <w:tc>
          <w:tcPr>
            <w:tcW w:w="1106" w:type="pct"/>
            <w:vAlign w:val="center"/>
          </w:tcPr>
          <w:p w14:paraId="57890193"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Sample Size</w:t>
            </w:r>
          </w:p>
        </w:tc>
        <w:tc>
          <w:tcPr>
            <w:tcW w:w="1738" w:type="pct"/>
            <w:vAlign w:val="center"/>
          </w:tcPr>
          <w:p w14:paraId="3E0E4FDA" w14:textId="77777777" w:rsidR="0073697F" w:rsidRPr="0073697F" w:rsidRDefault="0073697F" w:rsidP="0073697F">
            <w:pPr>
              <w:jc w:val="center"/>
              <w:rPr>
                <w:rFonts w:ascii="Times New Roman" w:hAnsi="Times New Roman" w:cs="Times New Roman"/>
                <w:b/>
                <w:sz w:val="24"/>
                <w:szCs w:val="24"/>
              </w:rPr>
            </w:pPr>
            <w:r w:rsidRPr="0073697F">
              <w:rPr>
                <w:rFonts w:ascii="Times New Roman" w:hAnsi="Times New Roman" w:cs="Times New Roman"/>
                <w:b/>
                <w:sz w:val="24"/>
                <w:szCs w:val="24"/>
              </w:rPr>
              <w:t>Result</w:t>
            </w:r>
          </w:p>
        </w:tc>
      </w:tr>
      <w:tr w:rsidR="0073697F" w:rsidRPr="0073697F" w14:paraId="02FA0347" w14:textId="77777777" w:rsidTr="0073697F">
        <w:tc>
          <w:tcPr>
            <w:tcW w:w="188" w:type="pct"/>
          </w:tcPr>
          <w:p w14:paraId="73DC65DB"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1</w:t>
            </w:r>
          </w:p>
        </w:tc>
        <w:tc>
          <w:tcPr>
            <w:tcW w:w="530" w:type="pct"/>
          </w:tcPr>
          <w:p w14:paraId="693C827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{"citationItems":[{"id":"ITEM-1","itemData":{"DOI":"10.2174/1874285802014010065","ISBN":"1874285802","ISSN":"1874-2858","abstract":"Background and aim: The prevalence of typhoid fever is reportedly high, especially in Asia. When a pathogen enters the human body, there are markers in the form of molecules that will be known by the innate immune system. Specific molecular markers of gram negative bacteria, which are Lipopolysaccharides (LPS) and Toll-Like receptors-4 will interact with LPS. The binding between LPS and TLR-4 will give rise to activation signals that will activate innate immune cells. Immune cells will release a number of proinflammatory cytokines, such as TNF-α, IL-1, and IL-6. While Vitamin D Receptors (VDR) are expressed in large amounts in tumor tissue and infected cells. This study aimed to prove the role of IL-6, TNF-α, and VDR in inhibiting bacterial growth in mice that have been induced by S.Typhi. Methods: This research was a real experimental pre-post test design to investigate the level of IL-6, TNF-α and VDR in suppressing the growth of bacteria in the peritoneal fluid of S. Typhi, male, mice BALB/c. Mice were divided into three groups comprised of 10 mice each. All mice in groups A and B were intraperitoneally inoculated with S. Typhi strain Thy1 in study day 0. Group A was treated with antibiotic Levofloxacine, on study day 4th . Another study group, group B, was used as a placebo and received aquades on study day 4th. While group C as a control was not inoculated with S. Typhi. Blood samples from three groups for the calculation of serum Il-6, TNF-α, and VDR were collected. This examination was taken four times; at baseline, 4th day, 10th day, and 30th day. For the calculation of bacterial colony, peritoneal fluid retrieval was collected three times, which is on 4th day, 10th day, and 30th day. Results: A repeated measure ANOVA in group A (antibiotic) and group B (placebo) group showed that mean IL-6, TNF-α, and VDR level differed statistically significant between times (p-value 0.000). There was a strong negative correlation between bacterial colony count and VDR level, which was statistically significant in both groups (group A; r =-0.875, p-value = 0.000 vs group B; r =-0.470, p-value = 0.002). IL-6 and TNF-α didn't give significant statistical correlation with bacterial colony count. Conclusion: VDR, IL-6, and TNF-α play an important role in killing bacteria. From the results of this study, IL-6 level is related to the number of bacterial colonies, the lower the IL-6 level, the less the number of bacterial colonies. Similarly, TNF-α levels have a posi…","author":[{"dropping-particle":"","family":"Febriza","given":"Ami","non-dropping-particle":"","parse-names":false,"suffix":""},{"dropping-particle":"","family":"Natzir","given":"Rosdiana","non-dropping-particle":"","parse-names":false,"suffix":""},{"dropping-particle":"","family":"Hatta","given":"Mochammad","non-dropping-particle":"","parse-names":false,"suffix":""},{"dropping-particle":"","family":"As'ad","given":"Suryani","non-dropping-particle":"","parse-names":false,"suffix":""},{"dropping-particle":"","family":"Budu","given":".","non-dropping-particle":"","parse-names":false,"suffix":""},{"dropping-particle":"","family":"Kaelan","given":"Cahyono","non-dropping-particle":"","parse-names":false,"suffix":""},{"dropping-particle":"","family":"Kasim","given":"Vivien Novarina","non-dropping-particle":"","parse-names":false,"suffix":""},{"dropping-particle":"","family":"Idrus","given":"Hasta Handayani","non-dropping-particle":"","parse-names":false,"suffix":""}],"container-title":"The Open Microbiology Journal","id":"ITEM-1","issue":"1","issued":{"date-parts":[["2020"]]},"page":"65-71","title":"The Role of IL-6, TNF-α, and VDR in Inhibiting the Growth of Salmonella Typhi: in vivo Study","type":"article-journal","volume":"14"},"uris":["http://www.mendeley.com/documents/?uuid=52b750bb-0879-49a9-884e-249c06ff3123"]}],"mendeley":{"formattedCitation":"(Febriza et al., 2020)","plainTextFormattedCitation":"(Febriza et al., 2020)","previouslyFormattedCitation":"(Febriza et al., 2020)"},"properties":{"noteIndex":0},"schema":"https://github.com/citation-style-language/schema/raw/master/csl-citation.json"}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(Febriza et al., 2020)</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Makassar, Indonesia</w:t>
            </w:r>
          </w:p>
        </w:tc>
        <w:tc>
          <w:tcPr>
            <w:tcW w:w="553" w:type="pct"/>
          </w:tcPr>
          <w:p w14:paraId="5165C51A" w14:textId="77777777" w:rsidR="0073697F" w:rsidRPr="0073697F" w:rsidRDefault="0073697F" w:rsidP="0073697F">
            <w:pPr>
              <w:jc w:val="both"/>
              <w:rPr>
                <w:rFonts w:ascii="Times New Roman" w:hAnsi="Times New Roman" w:cs="Times New Roman"/>
                <w:sz w:val="24"/>
                <w:szCs w:val="24"/>
                <w:shd w:val="clear" w:color="auto" w:fill="FFFFFF"/>
              </w:rPr>
            </w:pPr>
            <w:r w:rsidRPr="0073697F">
              <w:rPr>
                <w:rFonts w:ascii="Times New Roman" w:hAnsi="Times New Roman" w:cs="Times New Roman"/>
                <w:sz w:val="24"/>
                <w:szCs w:val="24"/>
                <w:shd w:val="clear" w:color="auto" w:fill="FFFFFF"/>
              </w:rPr>
              <w:t>Experimental in vivo</w:t>
            </w:r>
          </w:p>
        </w:tc>
        <w:tc>
          <w:tcPr>
            <w:tcW w:w="885" w:type="pct"/>
          </w:tcPr>
          <w:p w14:paraId="4847674A"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To determine the levels of IL-6, TNF-α, and VDR in suppressing bacterial growth in the peritoneal fluid of male mice </w:t>
            </w:r>
            <w:r w:rsidRPr="0073697F">
              <w:rPr>
                <w:rFonts w:ascii="Times New Roman" w:hAnsi="Times New Roman" w:cs="Times New Roman"/>
                <w:sz w:val="24"/>
                <w:szCs w:val="24"/>
              </w:rPr>
              <w:lastRenderedPageBreak/>
              <w:t>S. Typhi BALB/c strain</w:t>
            </w:r>
          </w:p>
        </w:tc>
        <w:tc>
          <w:tcPr>
            <w:tcW w:w="1106" w:type="pct"/>
          </w:tcPr>
          <w:p w14:paraId="76524A7C" w14:textId="77777777" w:rsidR="0073697F" w:rsidRPr="0073697F" w:rsidRDefault="0073697F" w:rsidP="0073697F">
            <w:pPr>
              <w:rPr>
                <w:rFonts w:ascii="Times New Roman" w:hAnsi="Times New Roman" w:cs="Times New Roman"/>
                <w:sz w:val="24"/>
                <w:szCs w:val="24"/>
              </w:rPr>
            </w:pPr>
            <w:r w:rsidRPr="0073697F">
              <w:rPr>
                <w:rFonts w:ascii="Times New Roman" w:hAnsi="Times New Roman" w:cs="Times New Roman"/>
                <w:sz w:val="24"/>
                <w:szCs w:val="24"/>
              </w:rPr>
              <w:lastRenderedPageBreak/>
              <w:t xml:space="preserve">This experiment examined 30 mice divided into 3 groups of 10 mice each. Groups A and B were inoculated </w:t>
            </w:r>
            <w:r w:rsidRPr="0073697F">
              <w:rPr>
                <w:rFonts w:ascii="Times New Roman" w:hAnsi="Times New Roman" w:cs="Times New Roman"/>
                <w:sz w:val="24"/>
                <w:szCs w:val="24"/>
              </w:rPr>
              <w:lastRenderedPageBreak/>
              <w:t>intraperitoneally with S. Typhi strain Thy1 and group C as control was not inoculated with S. Typhi.</w:t>
            </w:r>
          </w:p>
        </w:tc>
        <w:tc>
          <w:tcPr>
            <w:tcW w:w="1738" w:type="pct"/>
          </w:tcPr>
          <w:p w14:paraId="4E0077A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VDR, IL-6, and TNF-α play an important role in killing bacteria. From the results of this research, IL-6 levels are related to the number of bacterial colonies. </w:t>
            </w:r>
            <w:r w:rsidRPr="0073697F">
              <w:rPr>
                <w:rFonts w:ascii="Times New Roman" w:hAnsi="Times New Roman" w:cs="Times New Roman"/>
                <w:sz w:val="24"/>
                <w:szCs w:val="24"/>
              </w:rPr>
              <w:lastRenderedPageBreak/>
              <w:t>The lower the IL-6 level, the smaller the number of bacterial colonies. Similarly, TNF-α levels were positively correlated with the number of bacterial colonies. While VDR levels are also related to the number of bacterial colonies, the higher the VDR levels, the fewer the number of bacterial colonies.</w:t>
            </w:r>
          </w:p>
        </w:tc>
      </w:tr>
      <w:tr w:rsidR="0073697F" w:rsidRPr="0073697F" w14:paraId="02E686F3" w14:textId="77777777" w:rsidTr="0073697F">
        <w:tc>
          <w:tcPr>
            <w:tcW w:w="188" w:type="pct"/>
          </w:tcPr>
          <w:p w14:paraId="4C5C7F94"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2</w:t>
            </w:r>
          </w:p>
        </w:tc>
        <w:tc>
          <w:tcPr>
            <w:tcW w:w="530" w:type="pct"/>
          </w:tcPr>
          <w:p w14:paraId="139720D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{"citationItems":[{"id":"ITEM-1","itemData":{"DOI":"10.11817/j.issn.1672-7347.2022.210556","ISBN":"0000000306980","author":[{"dropping-particle":"","family":"Yu","given":"H O U","non-dropping-particle":"","parse-names":false,"suffix":""},{"dropping-particle":"","family":"Jinghui","given":"L I","non-dropping-particle":"","parse-names":false,"suffix":""},{"dropping-particle":"","family":"Chao","given":"Deng","non-dropping-particle":"","parse-names":false,"suffix":""}],"id":"ITEM-1","issue":"6","issued":{"date-parts":[["2022"]]},"page":"0-3","title":"Vitamin D / vitamin D receptor , autophagy , and infection","type":"article-journal","volume":"47"},"uris":["http://www.mendeley.com/documents/?uuid=cf8556b2-1558-4cdf-a86d-58b2568acfd4"]}],"mendeley":{"formattedCitation":"(H. O. U. Yu et al., 2022)","plainTextFormattedCitation":"(H. O. U. Yu et al., 2022)","previouslyFormattedCitation":"(H. O. U. Yu et al., 2022)"},"properties":{"noteIndex":0},"schema":"https://github.com/citation-style-language/schema/raw/master/csl-citation.json"}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(H. O. U. Yu et al., 2022)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/Haikou, China</w:t>
            </w:r>
          </w:p>
        </w:tc>
        <w:tc>
          <w:tcPr>
            <w:tcW w:w="553" w:type="pct"/>
          </w:tcPr>
          <w:p w14:paraId="27D4B5CC"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Systematic Review</w:t>
            </w:r>
          </w:p>
        </w:tc>
        <w:tc>
          <w:tcPr>
            <w:tcW w:w="885" w:type="pct"/>
          </w:tcPr>
          <w:p w14:paraId="264F221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To determine the relationship between Vitamin D / Vit D receptors, autophagy and infection</w:t>
            </w:r>
          </w:p>
        </w:tc>
        <w:tc>
          <w:tcPr>
            <w:tcW w:w="1106" w:type="pct"/>
          </w:tcPr>
          <w:p w14:paraId="44DB6AB4"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The sample was 10 studies obtained from 5 databases</w:t>
            </w:r>
          </w:p>
        </w:tc>
        <w:tc>
          <w:tcPr>
            <w:tcW w:w="1738" w:type="pct"/>
          </w:tcPr>
          <w:p w14:paraId="3099448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VDR can inhibit TNF/NF-</w:t>
            </w:r>
            <w:proofErr w:type="spellStart"/>
            <w:r w:rsidRPr="0073697F">
              <w:rPr>
                <w:rFonts w:ascii="Times New Roman" w:hAnsi="Times New Roman" w:cs="Times New Roman"/>
                <w:sz w:val="24"/>
                <w:szCs w:val="24"/>
              </w:rPr>
              <w:t>κB</w:t>
            </w:r>
            <w:proofErr w:type="spellEnd"/>
            <w:r w:rsidRPr="0073697F">
              <w:rPr>
                <w:rFonts w:ascii="Times New Roman" w:hAnsi="Times New Roman" w:cs="Times New Roman"/>
                <w:sz w:val="24"/>
                <w:szCs w:val="24"/>
              </w:rPr>
              <w:t xml:space="preserve"> and IFN-γ </w:t>
            </w:r>
            <w:proofErr w:type="spellStart"/>
            <w:r w:rsidRPr="0073697F">
              <w:rPr>
                <w:rFonts w:ascii="Times New Roman" w:hAnsi="Times New Roman" w:cs="Times New Roman"/>
                <w:sz w:val="24"/>
                <w:szCs w:val="24"/>
              </w:rPr>
              <w:t>signalling</w:t>
            </w:r>
            <w:proofErr w:type="spellEnd"/>
            <w:r w:rsidRPr="0073697F">
              <w:rPr>
                <w:rFonts w:ascii="Times New Roman" w:hAnsi="Times New Roman" w:cs="Times New Roman"/>
                <w:sz w:val="24"/>
                <w:szCs w:val="24"/>
              </w:rPr>
              <w:t xml:space="preserve"> pathways and reduce the production of pro-inflammatory cytokines such as IL-6. VD can also inhibit renin gene expression through the VDR pathway thereby regulating the activity of the renin-angiotensin-aldosterone system and repairing ARDS caused by LPS.</w:t>
            </w:r>
          </w:p>
        </w:tc>
      </w:tr>
      <w:tr w:rsidR="0073697F" w:rsidRPr="0073697F" w14:paraId="5EDC3FE5" w14:textId="77777777" w:rsidTr="0073697F">
        <w:tc>
          <w:tcPr>
            <w:tcW w:w="188" w:type="pct"/>
          </w:tcPr>
          <w:p w14:paraId="60D3C994"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3</w:t>
            </w:r>
          </w:p>
        </w:tc>
        <w:tc>
          <w:tcPr>
            <w:tcW w:w="530" w:type="pct"/>
          </w:tcPr>
          <w:p w14:paraId="37E9208A"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{"citationItems":[{"id":"ITEM-1","itemData":{"DOI":"10.1038/s41598-018-19234-z","ISSN":"20452322","PMID":"29335479","abstract":"The suppressive function of vitamin D on oral lichen planus (OLP) have been documented previously. Vitamin D receptor (VDR) expression is down-regulated in OLP, but the molecular mechanism of its decrease and the related anti-inflammatory contributor of epithelial VDR signaling is unclear. Herein, we demonstrated that lipopolysaccharide (LPS) remarkedly down-regulated VDR expression of keratinocytes, and the reduced regulation was dependent on tumor necrosis factor alpha (TNFα)-miR-346 pathway. In human specimen studies, VDR levels of oral mucosal epithelia from OLP patients decreased substantially accompanied with robust TNFα and miR-346 induction, compared to the normal tissues. In addition, vitamin D/VDR signaling inhibited LPS-induced p53-upregulated modulator of apoptosis (PUMA) induction in keratinocytes via impeding nuclear factor-κB (NF-κB) activation, resulting in keratinocytes apoptosis reduction. Importantly, PUMA activity was up-regulated strongly in diseased epithelium, reversely correlated with VDR expression. Totally, our data indicate that LPS is responsible for VDR downregulation in oral keratinocytes, which is associated with OLP development.","author":[{"dropping-particle":"","family":"Zhao","given":"Bin","non-dropping-particle":"","parse-names":false,"suffix":""},{"dropping-particle":"","family":"Li","given":"Ran","non-dropping-particle":"","parse-names":false,"suffix":""},{"dropping-particle":"","family":"Yang","given":"Fang","non-dropping-particle":"","parse-names":false,"suffix":""},{"dropping-particle":"","family":"Yu","given":"Feiyan","non-dropping-particle":"","parse-names":false,"suffix":""},{"dropping-particle":"","family":"Xu","given":"Na","non-dropping-particle":"","parse-names":false,"suffix":""},{"dropping-particle":"","family":"Zhang","given":"Fang","non-dropping-particle":"","parse-names":false,"suffix":""},{"dropping-particle":"","family":"Ge","given":"Xuejun","non-dropping-particle":"","parse-names":false,"suffix":""},{"dropping-particle":"","family":"Du","given":"Jie","non-dropping-particle":"","parse-names":false,"suffix":""}],"container-title":"Scientific Reports","id":"ITEM-1","issue":"1","issued":{"date-parts":[["2018"]]},"page":"1-9","title":"LPS-induced Vitamin D Receptor Decrease in Oral Keratinocytes Is Associated with Oral Lichen Planus","type":"article-journal","volume":"8"},"uris":["http://www.mendeley.com/documents/?uuid=bdd36c71-e0ae-4893-a931-71d75231210c"]}],"mendeley":{"formattedCitation":"(Zhao et al., 2018)","plainTextFormattedCitation":"(Zhao et al., 2018)","previouslyFormattedCitation":"(Zhao et al., 2018)"},"properties":{"noteIndex":0},"schema":"https://github.com/citation-style-language/schema/raw/master/csl-citation.json"}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(Zhao et al., 2018)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Shanxi, China</w:t>
            </w:r>
          </w:p>
        </w:tc>
        <w:tc>
          <w:tcPr>
            <w:tcW w:w="553" w:type="pct"/>
          </w:tcPr>
          <w:p w14:paraId="05921C9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Cohort Study</w:t>
            </w:r>
          </w:p>
        </w:tc>
        <w:tc>
          <w:tcPr>
            <w:tcW w:w="885" w:type="pct"/>
          </w:tcPr>
          <w:p w14:paraId="515F60C9"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To elucidate the molecular mechanisms of epithelial VDR reduction in OLP and explore how oral epithelial VD-VDR </w:t>
            </w:r>
            <w:proofErr w:type="spellStart"/>
            <w:r w:rsidRPr="0073697F">
              <w:rPr>
                <w:rFonts w:ascii="Times New Roman" w:hAnsi="Times New Roman" w:cs="Times New Roman"/>
                <w:sz w:val="24"/>
                <w:szCs w:val="24"/>
              </w:rPr>
              <w:t>signalling</w:t>
            </w:r>
            <w:proofErr w:type="spellEnd"/>
            <w:r w:rsidRPr="0073697F">
              <w:rPr>
                <w:rFonts w:ascii="Times New Roman" w:hAnsi="Times New Roman" w:cs="Times New Roman"/>
                <w:sz w:val="24"/>
                <w:szCs w:val="24"/>
              </w:rPr>
              <w:t xml:space="preserve"> inhibits OLP initiation or progression</w:t>
            </w:r>
          </w:p>
        </w:tc>
        <w:tc>
          <w:tcPr>
            <w:tcW w:w="1106" w:type="pct"/>
          </w:tcPr>
          <w:p w14:paraId="5310E4F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In this study, 14 people were identified with an age range of 28-66 years old and dominated by buccal mucosal sites</w:t>
            </w:r>
          </w:p>
        </w:tc>
        <w:tc>
          <w:tcPr>
            <w:tcW w:w="1738" w:type="pct"/>
          </w:tcPr>
          <w:p w14:paraId="4A2DECA5"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Evidence is convincing that lipopolysaccharides (LPS) decrease the regulation of VDR expression in oral mucosal epithelium dependent on TNFα-miR346 </w:t>
            </w:r>
            <w:proofErr w:type="spellStart"/>
            <w:r w:rsidRPr="0073697F">
              <w:rPr>
                <w:rFonts w:ascii="Times New Roman" w:hAnsi="Times New Roman" w:cs="Times New Roman"/>
                <w:sz w:val="24"/>
                <w:szCs w:val="24"/>
              </w:rPr>
              <w:t>signalling</w:t>
            </w:r>
            <w:proofErr w:type="spellEnd"/>
            <w:r w:rsidRPr="0073697F">
              <w:rPr>
                <w:rFonts w:ascii="Times New Roman" w:hAnsi="Times New Roman" w:cs="Times New Roman"/>
                <w:sz w:val="24"/>
                <w:szCs w:val="24"/>
              </w:rPr>
              <w:t>. Vitamin D/VDR can suppress LPS-induced keratinocyte apoptosis by regulating the NF-</w:t>
            </w:r>
            <w:proofErr w:type="spellStart"/>
            <w:r w:rsidRPr="0073697F">
              <w:rPr>
                <w:rFonts w:ascii="Times New Roman" w:hAnsi="Times New Roman" w:cs="Times New Roman"/>
                <w:sz w:val="24"/>
                <w:szCs w:val="24"/>
              </w:rPr>
              <w:t>κB</w:t>
            </w:r>
            <w:proofErr w:type="spellEnd"/>
            <w:r w:rsidRPr="0073697F">
              <w:rPr>
                <w:rFonts w:ascii="Times New Roman" w:hAnsi="Times New Roman" w:cs="Times New Roman"/>
                <w:sz w:val="24"/>
                <w:szCs w:val="24"/>
              </w:rPr>
              <w:t xml:space="preserve"> pathway. Thus, vitamin D/VDR plays a protective role in the integrity of the oral mucosal barrier to overcome bacterial challenges, stopping or delaying the progression of Oral Lichen Planus (OLP).</w:t>
            </w:r>
          </w:p>
        </w:tc>
      </w:tr>
      <w:tr w:rsidR="0073697F" w:rsidRPr="0073697F" w14:paraId="61A63D1D" w14:textId="77777777" w:rsidTr="0073697F">
        <w:tc>
          <w:tcPr>
            <w:tcW w:w="188" w:type="pct"/>
          </w:tcPr>
          <w:p w14:paraId="428C18B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4</w:t>
            </w:r>
          </w:p>
        </w:tc>
        <w:tc>
          <w:tcPr>
            <w:tcW w:w="530" w:type="pct"/>
          </w:tcPr>
          <w:p w14:paraId="139E281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{"citationItems":[{"id":"ITEM-1","itemData":{"DOI":"10.3390/cells11071129","ISSN":"20734409","abstract":"Vitamin D receptor (VDR) executes most of the biological functions of vitamin D. Beyond this, VDR is a transcriptional factor regulating the expression levels of many target genes, such as genes for tight junction proteins claudin-2,-5,-12, and-15. In this review, we discuss the progress of research on VDR that influences intestinal barriers in health and disease. We searched PubMed and Google Scholar using key words vitamin D, VDR, tight junctions, cancer, inflammation, and infection. We summarize the literature and progress reports on VDR regulation of tight junction distribution, cellular functions, and mechanisms (directly or indirectly). We review the impacts of VDR on barriers in various diseases, e.g., colon cancer, infection, inflammatory bowel disease, and chronic inflammatory lung diseases. We also discuss the limits of current studies and future directions. Deeper understanding of the mechanisms by which the VDR signaling regulates intestinal barrier functions allow us to develop efficient and effective therapeutic strategies based on levels of tight junction proteins and vitamin D/VDR statuses for human diseases.","author":[{"dropping-particle":"","family":"Sun","given":"Jun","non-dropping-particle":"","parse-names":false,"suffix":""},{"dropping-particle":"","family":"Zhang","given":"Yong Guo","non-dropping-particle":"","parse-names":false,"suffix":""}],"container-title":"Cells","id":"ITEM-1","issue":"7","issued":{"date-parts":[["2022"]]},"page":"1-23","title":"Vitamin D Receptor Influences Intestinal Barriers in Health and Disease","type":"article-journal","volume":"11"},"uris":["http://www.mendeley.com/documents/?uuid=5a1763a3-44bd-44c6-b105-ddbd24910531"]}],"mendeley":{"formattedCitation":"(Sun &amp; Zhang, 2022)","plainTextFormattedCitation":"(Sun &amp; Zhang, 2022)","previouslyFormattedCitation":"(Sun &amp; Zhang, 2022)"},"properties":{"noteIndex":0},"schema":"https://github.com/citation-style-language/schema/raw/master/csl-citation.json"}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(Sun &amp; Zhang, 2022)</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Chicago, AS</w:t>
            </w:r>
          </w:p>
        </w:tc>
        <w:tc>
          <w:tcPr>
            <w:tcW w:w="553" w:type="pct"/>
          </w:tcPr>
          <w:p w14:paraId="35749F85"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Systematic Review</w:t>
            </w:r>
          </w:p>
        </w:tc>
        <w:tc>
          <w:tcPr>
            <w:tcW w:w="885" w:type="pct"/>
          </w:tcPr>
          <w:p w14:paraId="56188EC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To assess the effect of vitamin D receptors on intestinal barriers in health and disease</w:t>
            </w:r>
          </w:p>
        </w:tc>
        <w:tc>
          <w:tcPr>
            <w:tcW w:w="1106" w:type="pct"/>
          </w:tcPr>
          <w:p w14:paraId="0729490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Searches were conducted on PubMed and Google Scholar using the keywords vitamin D, VDR, tight junction, cancer, </w:t>
            </w:r>
            <w:r w:rsidRPr="0073697F">
              <w:rPr>
                <w:rFonts w:ascii="Times New Roman" w:hAnsi="Times New Roman" w:cs="Times New Roman"/>
                <w:sz w:val="24"/>
                <w:szCs w:val="24"/>
              </w:rPr>
              <w:lastRenderedPageBreak/>
              <w:t>inflammation, and infection.</w:t>
            </w:r>
          </w:p>
        </w:tc>
        <w:tc>
          <w:tcPr>
            <w:tcW w:w="1738" w:type="pct"/>
          </w:tcPr>
          <w:p w14:paraId="55E23208"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VDR is essential in regulating intestinal homeostasis by preventing the invasion of pathogenic bacteria, inhibiting inflammation, and </w:t>
            </w:r>
            <w:r w:rsidRPr="0073697F">
              <w:rPr>
                <w:rFonts w:ascii="Times New Roman" w:hAnsi="Times New Roman" w:cs="Times New Roman"/>
                <w:sz w:val="24"/>
                <w:szCs w:val="24"/>
              </w:rPr>
              <w:lastRenderedPageBreak/>
              <w:t>maintaining barrier function</w:t>
            </w:r>
          </w:p>
        </w:tc>
      </w:tr>
      <w:tr w:rsidR="0073697F" w:rsidRPr="0073697F" w14:paraId="0A2C068B" w14:textId="77777777" w:rsidTr="0073697F">
        <w:tc>
          <w:tcPr>
            <w:tcW w:w="188" w:type="pct"/>
          </w:tcPr>
          <w:p w14:paraId="41836411"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5</w:t>
            </w:r>
          </w:p>
        </w:tc>
        <w:tc>
          <w:tcPr>
            <w:tcW w:w="530" w:type="pct"/>
          </w:tcPr>
          <w:p w14:paraId="68A2B48B"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{"citationItems":[{"id":"ITEM-1","itemData":{"DOI":"10.1186/s13058-019-1169-1","ISBN":"1305801911","ISSN":"1465542X","PMID":"31358030","abstract":"Background: Vitamin D has been suggested to prevent and improve the prognosis of several cancers, including breast cancer. We have previously shown a U-shaped association between pre-diagnostic serum levels of vitamin D and risk of breast cancer-related death, with poor survival in patients with the lowest and the highest levels respectively, as compared to the intermediate group. Vitamin D exerts its functions through the vitamin D receptor (VDR), and the aim of the current study was to investigate if the expression of VDR in invasive breast tumors is associated with breast cancer prognosis. Methods: VDR expression was evaluated in a tissue microarray of 718 invasive breast tumors. Covariation between VDR expression and established prognostic factors for breast cancer was analyzed, as well as associations between VDR expression and breast cancer mortality. Results: We found that positive VDR expression in the nuclei and cytoplasm of breast cancer cells was associated with favorable tumor characteristics such as smaller size, lower grade, estrogen receptor positivity and progesterone receptor positivity, and lower expression of Ki67. In addition, both intranuclear and cytoplasmic VDR expression were associated with a low risk of breast cancer mortality, hazard ratios 0.56 (95% CI 0.34-0.91) and 0.59 (0.30-1.16) respectively. Conclusions: This study found that high expression of VDR in invasive breast tumors is associated with favorable prognostic factors and a low risk of breast cancer death. Hence, a high VDR expression is a positive prognostic factor.","author":[{"dropping-particle":"","family":"Huss","given":"Linnea","non-dropping-particle":"","parse-names":false,"suffix":""},{"dropping-particle":"","family":"Butt","given":"Salma Tunå","non-dropping-particle":"","parse-names":false,"suffix":""},{"dropping-particle":"","family":"Borgquist","given":"Signe","non-dropping-particle":"","parse-names":false,"suffix":""},{"dropping-particle":"","family":"Elebro","given":"Karin","non-dropping-particle":"","parse-names":false,"suffix":""},{"dropping-particle":"","family":"Sandsveden","given":"Malte","non-dropping-particle":"","parse-names":false,"suffix":""},{"dropping-particle":"","family":"Rosendahl","given":"Ann","non-dropping-particle":"","parse-names":false,"suffix":""},{"dropping-particle":"","family":"Manjer","given":"Jonas","non-dropping-particle":"","parse-names":false,"suffix":""}],"container-title":"Breast Cancer Research","id":"ITEM-1","issue":"1","issued":{"date-parts":[["2019"]]},"page":"1-13","publisher":"Breast Cancer Research","title":"Vitamin D receptor expression in invasive breast tumors and breast cancer survival","type":"article-journal","volume":"21"},"uris":["http://www.mendeley.com/documents/?uuid=5e31370b-fe6b-4297-b990-c68d5a9ceef9"]}],"mendeley":{"formattedCitation":"(Huss et al., 2019)","plainTextFormattedCitation":"(Huss et al., 2019)","previouslyFormattedCitation":"(Huss et al., 2019)"},"properties":{"noteIndex":0},"schema":"https://github.com/citation-style-language/schema/raw/master/csl-citation.json"}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(Huss et al., 2019)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Lund, Sweden</w:t>
            </w:r>
          </w:p>
        </w:tc>
        <w:tc>
          <w:tcPr>
            <w:tcW w:w="553" w:type="pct"/>
          </w:tcPr>
          <w:p w14:paraId="44F52691" w14:textId="77777777" w:rsidR="0073697F" w:rsidRPr="0073697F" w:rsidRDefault="0073697F" w:rsidP="0073697F">
            <w:pPr>
              <w:jc w:val="both"/>
              <w:rPr>
                <w:rFonts w:ascii="Times New Roman" w:hAnsi="Times New Roman" w:cs="Times New Roman"/>
                <w:sz w:val="24"/>
                <w:szCs w:val="24"/>
                <w:shd w:val="clear" w:color="auto" w:fill="FFFFFF"/>
              </w:rPr>
            </w:pPr>
            <w:r w:rsidRPr="0073697F">
              <w:rPr>
                <w:rFonts w:ascii="Times New Roman" w:hAnsi="Times New Roman" w:cs="Times New Roman"/>
                <w:sz w:val="24"/>
                <w:szCs w:val="24"/>
                <w:shd w:val="clear" w:color="auto" w:fill="FFFFFF"/>
              </w:rPr>
              <w:t>Meta-analysis</w:t>
            </w:r>
          </w:p>
        </w:tc>
        <w:tc>
          <w:tcPr>
            <w:tcW w:w="885" w:type="pct"/>
          </w:tcPr>
          <w:p w14:paraId="0BD55C00" w14:textId="77777777" w:rsidR="0073697F" w:rsidRPr="0073697F" w:rsidRDefault="0073697F" w:rsidP="0073697F">
            <w:pPr>
              <w:jc w:val="both"/>
              <w:rPr>
                <w:rFonts w:ascii="Times New Roman" w:hAnsi="Times New Roman" w:cs="Times New Roman"/>
                <w:sz w:val="24"/>
                <w:szCs w:val="24"/>
                <w:shd w:val="clear" w:color="auto" w:fill="FFFFFF"/>
              </w:rPr>
            </w:pPr>
            <w:r w:rsidRPr="0073697F">
              <w:rPr>
                <w:rFonts w:ascii="Times New Roman" w:hAnsi="Times New Roman" w:cs="Times New Roman"/>
                <w:sz w:val="24"/>
                <w:szCs w:val="24"/>
                <w:shd w:val="clear" w:color="auto" w:fill="FFFFFF"/>
              </w:rPr>
              <w:t>To investigate whether VDR expression in invasive breast tumor is related to breast cancer prognosis.</w:t>
            </w:r>
          </w:p>
        </w:tc>
        <w:tc>
          <w:tcPr>
            <w:tcW w:w="1106" w:type="pct"/>
          </w:tcPr>
          <w:p w14:paraId="13371EE1"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shd w:val="clear" w:color="auto" w:fill="FFFFFF"/>
              </w:rPr>
              <w:t>Samples were obtained as many as 718 women with invasive breast tumor with double imputation through analysis of tumor size, lymph node status, histological type, and molecular subtype.</w:t>
            </w:r>
          </w:p>
        </w:tc>
        <w:tc>
          <w:tcPr>
            <w:tcW w:w="1738" w:type="pct"/>
          </w:tcPr>
          <w:p w14:paraId="44A85E07"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The results showed that high expression of VDR in invasive breast tumor became a positive prognostic factor that was beneficial and reduced the risk of death from breast cancer. Women with VDR-positive breast tumor have better breast cancer-specific survival compared to women with VDR-negative tumor.</w:t>
            </w:r>
          </w:p>
        </w:tc>
      </w:tr>
      <w:tr w:rsidR="0073697F" w:rsidRPr="0073697F" w14:paraId="4B98BF71" w14:textId="77777777" w:rsidTr="0073697F">
        <w:tc>
          <w:tcPr>
            <w:tcW w:w="188" w:type="pct"/>
          </w:tcPr>
          <w:p w14:paraId="5603A75C"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6</w:t>
            </w:r>
          </w:p>
        </w:tc>
        <w:tc>
          <w:tcPr>
            <w:tcW w:w="530" w:type="pct"/>
          </w:tcPr>
          <w:p w14:paraId="65385C58"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{"citationItems":[{"id":"ITEM-1","itemData":{"DOI":"10.1016/j.amsu.2021.02.020","ISSN":"20490801","abstract":"Background: HIV-AIDS patients typically have hypovitaminosis D. Vitamin D is a key mediator in inflammatory and infectious diseases, which VDR mediates its biological effect. High-mobility group box 1 protein (HMGB1) modulates HIV-1 replication in vitro. Vitamin D played a role in inhibiting HMGB1 secretion in the animal study. Objectives: This study aimed to examine differences and correlation of vitamin D receptor and HMGB1 protein levels in HIV patients with mild and severe immunodeficiency and healthy control participants. Methods: This study using a cross-sectional design conducted at Volunteer Counseling and Testing (VCT) Clinic in Mataram, West Nusa Tenggara, Indonesia, from January to June 2020. Three groups of study participants were classified as HIV patients with severe immune deficiency (SID), HIV patients with mild immune deficiency (MID), and healthy controls (HC). Results: Mean level of vitamin D receptor in SID HIV group was 25.89 ± 3.95 ng/ml, lower than those in MID-HIV group; 33.72 ± 1.69 ng/ml and in HC group; 50.65 ± 3.64 ng/ml. Mean levels of HMGB1 protein in the SID HIV group were 3119.81 ± 292.38 pg/ml higher than those in the MID HIV group 1553.55 ± 231.08 pg/ml and HC 680.82 ± 365.51 pg/ml. There was a significant and strong negative correlation (r = −0.932) between vitamin D receptor and HMGB1 levels (p &lt; 0.01). Conclusions: Strong negative correlation between VDR and HMGB1 in different immunodeficiency statuses suggesting an important role of vitamin D in inflammation control in HIV infection. However, it needs to be confirmed in a further prospective study.","author":[{"dropping-particle":"","family":"Wardani","given":"Indah Sapta","non-dropping-particle":"","parse-names":false,"suffix":""},{"dropping-particle":"","family":"Hatta","given":"Mochammad","non-dropping-particle":"","parse-names":false,"suffix":""},{"dropping-particle":"","family":"Mubin","given":"Risna Halim","non-dropping-particle":"","parse-names":false,"suffix":""},{"dropping-particle":"","family":"Bukhari","given":"Agussalim","non-dropping-particle":"","parse-names":false,"suffix":""},{"dropping-particle":"","family":"Mulyanto","given":"","non-dropping-particle":"","parse-names":false,"suffix":""},{"dropping-particle":"","family":"Massi","given":"Muhammad Nasrum","non-dropping-particle":"","parse-names":false,"suffix":""},{"dropping-particle":"","family":"Djaharuddin","given":"Irawaty","non-dropping-particle":"","parse-names":false,"suffix":""},{"dropping-particle":"","family":"Bahar","given":"Burhanuddin","non-dropping-particle":"","parse-names":false,"suffix":""},{"dropping-particle":"","family":"Aminuddin","given":"","non-dropping-particle":"","parse-names":false,"suffix":""},{"dropping-particle":"","family":"Wahyuni","given":"Siti","non-dropping-particle":"","parse-names":false,"suffix":""}],"container-title":"Annals of Medicine and Surgery","id":"ITEM-1","issue":"February","issued":{"date-parts":[["2021"]]},"page":"102174","publisher":"Elsevier Ltd","title":"Serum vitamin D receptor and High Mobility Group Box-1 (HMGB1) levels in HIV-infected patients with different immunodeficiency status: A cross-sectional study","type":"article-journal","volume":"63"},"uris":["http://www.mendeley.com/documents/?uuid=c3b00a60-5204-426b-a901-6c12d94ddbef"]}],"mendeley":{"formattedCitation":"(Wardani et al., 2021)","plainTextFormattedCitation":"(Wardani et al., 2021)","previouslyFormattedCitation":"(Wardani et al., 2021)"},"properties":{"noteIndex":0},"schema":"https://github.com/citation-style-language/schema/raw/master/csl-citation.json"}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(Wardani et al., 2021)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Makassar, Indonesia</w:t>
            </w:r>
          </w:p>
        </w:tc>
        <w:tc>
          <w:tcPr>
            <w:tcW w:w="553" w:type="pct"/>
          </w:tcPr>
          <w:p w14:paraId="3E3B99B3"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Cross-sectional</w:t>
            </w:r>
          </w:p>
        </w:tc>
        <w:tc>
          <w:tcPr>
            <w:tcW w:w="885" w:type="pct"/>
          </w:tcPr>
          <w:p w14:paraId="0F8439ED" w14:textId="77777777" w:rsidR="0073697F" w:rsidRPr="0073697F" w:rsidRDefault="0073697F" w:rsidP="0073697F">
            <w:pPr>
              <w:rPr>
                <w:rFonts w:ascii="Times New Roman" w:hAnsi="Times New Roman" w:cs="Times New Roman"/>
                <w:sz w:val="24"/>
                <w:szCs w:val="24"/>
              </w:rPr>
            </w:pPr>
            <w:r w:rsidRPr="0073697F">
              <w:rPr>
                <w:rFonts w:ascii="Times New Roman" w:hAnsi="Times New Roman" w:cs="Times New Roman"/>
                <w:sz w:val="24"/>
                <w:szCs w:val="24"/>
              </w:rPr>
              <w:t>To test the difference and correlation of vitamin D receptor levels and HMGB1 protein in HIV patients with mild and severe immunodeficiency and healthy control participants.</w:t>
            </w:r>
          </w:p>
        </w:tc>
        <w:tc>
          <w:tcPr>
            <w:tcW w:w="1106" w:type="pct"/>
          </w:tcPr>
          <w:p w14:paraId="5EAF0107"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Three groups of 39 study subjects consisted of 13 participants of HIV patients with severe immune deficiency (SID), 13 participants of HIV patients with mild immune deficiency (MID), and 13 healthy controls (HC) with an </w:t>
            </w:r>
            <w:r w:rsidRPr="0073697F">
              <w:rPr>
                <w:rFonts w:ascii="Times New Roman" w:hAnsi="Times New Roman" w:cs="Times New Roman"/>
                <w:sz w:val="24"/>
                <w:szCs w:val="24"/>
              </w:rPr>
              <w:lastRenderedPageBreak/>
              <w:t>average age of 34.5 years old.</w:t>
            </w:r>
          </w:p>
        </w:tc>
        <w:tc>
          <w:tcPr>
            <w:tcW w:w="1738" w:type="pct"/>
          </w:tcPr>
          <w:p w14:paraId="7AC751C4"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VDR has a strong immunomodulatory effect and antimicrobial effect on HIV infection.  The strong and significant negative correlation between vitamin D receptors and HMGB1 levels and immune status of HIV patients supports the important role of vitamin D </w:t>
            </w:r>
            <w:r w:rsidRPr="0073697F">
              <w:rPr>
                <w:rFonts w:ascii="Times New Roman" w:hAnsi="Times New Roman" w:cs="Times New Roman"/>
                <w:sz w:val="24"/>
                <w:szCs w:val="24"/>
              </w:rPr>
              <w:lastRenderedPageBreak/>
              <w:t>receptors in immune status and severity of inflammatory processes in HIV-infected patients</w:t>
            </w:r>
          </w:p>
        </w:tc>
      </w:tr>
      <w:tr w:rsidR="0073697F" w:rsidRPr="0073697F" w14:paraId="2D1B20A7" w14:textId="77777777" w:rsidTr="0073697F">
        <w:tc>
          <w:tcPr>
            <w:tcW w:w="188" w:type="pct"/>
          </w:tcPr>
          <w:p w14:paraId="3DF539FA"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7</w:t>
            </w:r>
          </w:p>
        </w:tc>
        <w:tc>
          <w:tcPr>
            <w:tcW w:w="530" w:type="pct"/>
          </w:tcPr>
          <w:p w14:paraId="03BE0331"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{"citationItems":[{"id":"ITEM-1","itemData":{"DOI":"10.1017/S000711451800209X","ISSN":"14752662","PMID":"30132432","abstract":"SNP in the vitamin D receptor (VDR) gene is associated with risk of lower respiratory infections. The influence of genetic variation in the vitamin D pathway resulting in susceptibility to upper respiratory infections (URI) has not been investigated. We evaluated the influence of thirty-three SNP in eleven vitamin D pathway genes (DBP, DHCR7, RXRA, CYP2R1, CYP27B1, CYP24A1, CYP3A4, CYP27A1, LRP2, CUBN and VDR) resulting in URI risk in 725 adults in London, UK, using an additive model with adjustment for potential confounders and correction for multiple comparisons. Significant associations in this cohort were investigated in a validation cohort of 737 children in Manchester, UK. In all, three SNP in VDR (rs4334089, rs11568820 and rs7970314) and one SNP in CYP3A4 (rs2740574) were associated with risk of URI in the discovery cohort after adjusting for potential confounders and correcting for multiple comparisons (adjusted incidence rate ratio per additional minor allele ≥1·15, P for trend ≤0·030). This association was replicated for rs4334089 in the validation cohort (P for trend=0·048) but not for rs11568820, rs7970314 or rs2740574. Carriage of the minor allele of the rs4334089 SNP in VDR was associated with increased susceptibility to URI in children and adult cohorts in the United Kingdom.","author":[{"dropping-particle":"","family":"Jolliffe","given":"David A.","non-dropping-particle":"","parse-names":false,"suffix":""},{"dropping-particle":"","family":"Greiller","given":"Claire L.","non-dropping-particle":"","parse-names":false,"suffix":""},{"dropping-particle":"","family":"Mein","given":"Charles A.","non-dropping-particle":"","parse-names":false,"suffix":""},{"dropping-particle":"","family":"Hoti","given":"Mimoza","non-dropping-particle":"","parse-names":false,"suffix":""},{"dropping-particle":"","family":"Bakhsoliani","given":"Eteri","non-dropping-particle":"","parse-names":false,"suffix":""},{"dropping-particle":"","family":"Telcian","given":"Aurica G.","non-dropping-particle":"","parse-names":false,"suffix":""},{"dropping-particle":"","family":"Simpson","given":"Angela","non-dropping-particle":"","parse-names":false,"suffix":""},{"dropping-particle":"","family":"Barnes","given":"Neil C.","non-dropping-particle":"","parse-names":false,"suffix":""},{"dropping-particle":"","family":"Curtin","given":"John A.","non-dropping-particle":"","parse-names":false,"suffix":""},{"dropping-particle":"","family":"Custovic","given":"Adnan","non-dropping-particle":"","parse-names":false,"suffix":""},{"dropping-particle":"","family":"Johnston","given":"Sebastian L.","non-dropping-particle":"","parse-names":false,"suffix":""},{"dropping-particle":"","family":"Griffiths","given":"Christopher J.","non-dropping-particle":"","parse-names":false,"suffix":""},{"dropping-particle":"","family":"Walton","given":"Robert T.","non-dropping-particle":"","parse-names":false,"suffix":""},{"dropping-particle":"","family":"Martineau","given":"Adrian R.","non-dropping-particle":"","parse-names":false,"suffix":""}],"container-title":"British Journal of Nutrition","id":"ITEM-1","issue":"8","issued":{"date-parts":[["2018"]]},"page":"881-890","title":"Vitamin D receptor genotype influences risk of upper respiratory infection","type":"article-journal","volume":"120"},"uris":["http://www.mendeley.com/documents/?uuid=021b93f8-7c0a-46b5-b943-387fcd7ae241"]}],"mendeley":{"formattedCitation":"(Jolliffe et al., 2018)","plainTextFormattedCitation":"(Jolliffe et al., 2018)","previouslyFormattedCitation":"(Jolliffe et al., 2018)"},"properties":{"noteIndex":0},"schema":"https://github.com/citation-style-language/schema/raw/master/csl-citation.json"}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(Jolliffe et al., 2018)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London, UK</w:t>
            </w:r>
          </w:p>
          <w:p w14:paraId="2B8D1A56" w14:textId="77777777" w:rsidR="0073697F" w:rsidRPr="0073697F" w:rsidRDefault="0073697F" w:rsidP="0073697F">
            <w:pPr>
              <w:jc w:val="both"/>
              <w:rPr>
                <w:rFonts w:ascii="Times New Roman" w:hAnsi="Times New Roman" w:cs="Times New Roman"/>
                <w:sz w:val="24"/>
                <w:szCs w:val="24"/>
              </w:rPr>
            </w:pPr>
          </w:p>
        </w:tc>
        <w:tc>
          <w:tcPr>
            <w:tcW w:w="553" w:type="pct"/>
          </w:tcPr>
          <w:p w14:paraId="5F381D2C"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Cohort Study</w:t>
            </w:r>
          </w:p>
        </w:tc>
        <w:tc>
          <w:tcPr>
            <w:tcW w:w="885" w:type="pct"/>
          </w:tcPr>
          <w:p w14:paraId="06C40937"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To find out the effect of vitamin D receptor genotype on the risk of upper respiratory tract infections</w:t>
            </w:r>
          </w:p>
        </w:tc>
        <w:tc>
          <w:tcPr>
            <w:tcW w:w="1106" w:type="pct"/>
          </w:tcPr>
          <w:p w14:paraId="29A2297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725 participants were studied. They ranged in age from 16 to 94, with an average of 59·7 (up to 15·0) years, and 54% were female. Overall, 67% of participants had respiratory comorbidities (34% asthma; 33% COPD).</w:t>
            </w:r>
          </w:p>
        </w:tc>
        <w:tc>
          <w:tcPr>
            <w:tcW w:w="1738" w:type="pct"/>
          </w:tcPr>
          <w:p w14:paraId="4D1EAE8C"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Polymorphisms in VDR are independently associated with susceptibility to Upper Respiratory Tract Infections in adults and children. VDR mediates protection against respiratory infections by supporting antiviral responses</w:t>
            </w:r>
          </w:p>
        </w:tc>
      </w:tr>
      <w:tr w:rsidR="0073697F" w:rsidRPr="0073697F" w14:paraId="52E6358F" w14:textId="77777777" w:rsidTr="0073697F">
        <w:tc>
          <w:tcPr>
            <w:tcW w:w="188" w:type="pct"/>
          </w:tcPr>
          <w:p w14:paraId="04C080D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8</w:t>
            </w:r>
          </w:p>
        </w:tc>
        <w:tc>
          <w:tcPr>
            <w:tcW w:w="530" w:type="pct"/>
          </w:tcPr>
          <w:p w14:paraId="681A4C61"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{"citationItems":[{"id":"ITEM-1","itemData":{"DOI":"10.1097/MD.0000000000010172","ISBN":"0000000000","ISSN":"15365964","PMID":"29561429","abstract":"The aims of this study were to investigate the interplay between autophagy and apoptosis and to investigate the association between both of autophagy and apoptosis and vitamin D and its receptor in hepatitis C virus (HCV) viral infection and its implication in the progression into hepatocellular carcinoma (HCC). A cross-sectional study where serum levels of microtubule-associated protein 1A/1B-light chain 3 (LC3); marker of autophagy, caspase-3; marker of apoptosis, vitamin D3 and vitamin D receptor (VDR) were measured in healthy subjects as well as HCV and HCV-HCC patients using enzyme-linked immunosorbent assay technique. Collectively, the liver profile revealed hepatic dysfunctions in HCV patients with or without HCC. A significant reduction in the serum concentration levels LC3 and caspase-3 were observed referring to the down regulation of autophagy and host-mediated apoptosis in HCV patients with or without HCC. Deficiency of vitamin D and decreased levels of its receptor were observed in HCV and HCV-HCC patients. The perturbation in vitamin D/VDR axis, which modulates both of autophagy and apoptosis in HCV infection, may point out to its involvement and implication in the pathogenesis of HCV infection and the development of HCV-related HCC. Therefore, supplementation with vitamin D may not be the only solution to restore the vital biological functions of vitamin D but VDR-targeted therapy may be of great importance in this respect.","author":[{"dropping-particle":"","family":"Abdel-Mohsen","given":"Mohamed Ahmed","non-dropping-particle":"","parse-names":false,"suffix":""},{"dropping-particle":"","family":"El-Braky","given":"Ahlam Abd Allah","non-dropping-particle":"","parse-names":false,"suffix":""},{"dropping-particle":"","family":"Ghazal","given":"Abeer Abd El Rahim","non-dropping-particle":"","parse-names":false,"suffix":""},{"dropping-particle":"","family":"Shamseya","given":"Mohammed Mohammed","non-dropping-particle":"","parse-names":false,"suffix":""}],"container-title":"Medicine (United States)","id":"ITEM-1","issue":"12","issued":{"date-parts":[["2018"]]},"title":"Autophagy, apoptosis, Vitamin D, and Vitamin D receptor in hepatocellular carcinoma associated with hepatitis C virus","type":"article-journal","volume":"97"},"uris":["http://www.mendeley.com/documents/?uuid=9b688b7b-0ce8-4f8d-b34e-72eb1fb97bab"]}],"mendeley":{"formattedCitation":"(Abdel-Mohsen et al., 2018)","plainTextFormattedCitation":"(Abdel-Mohsen et al., 2018)","previouslyFormattedCitation":"(Abdel-Mohsen et al., 2018)"},"properties":{"noteIndex":0},"schema":"https://github.com/citation-style-language/schema/raw/master/csl-citation.json"}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(Abdel-Mohsen et al., 2018)</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Cairo, Egypt</w:t>
            </w:r>
          </w:p>
        </w:tc>
        <w:tc>
          <w:tcPr>
            <w:tcW w:w="553" w:type="pct"/>
          </w:tcPr>
          <w:p w14:paraId="53F11482"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Cross-sectional</w:t>
            </w:r>
          </w:p>
        </w:tc>
        <w:tc>
          <w:tcPr>
            <w:tcW w:w="885" w:type="pct"/>
          </w:tcPr>
          <w:p w14:paraId="62AC8EF3"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To investigate the interaction between autophagy and apoptosis and to investigate the relationship between autophagy and apoptosis and vitamin D and its receptors in hepatitis C virus (HCV) infection and its implications in progression to </w:t>
            </w:r>
            <w:r w:rsidRPr="0073697F">
              <w:rPr>
                <w:rFonts w:ascii="Times New Roman" w:hAnsi="Times New Roman" w:cs="Times New Roman"/>
                <w:sz w:val="24"/>
                <w:szCs w:val="24"/>
              </w:rPr>
              <w:lastRenderedPageBreak/>
              <w:t>hepatocellular carcinoma</w:t>
            </w:r>
          </w:p>
        </w:tc>
        <w:tc>
          <w:tcPr>
            <w:tcW w:w="1106" w:type="pct"/>
          </w:tcPr>
          <w:p w14:paraId="10F4E44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The sample of 90 patients was divided into 3 groups: Group I were healthy subjects (HS) consisting of 30 apparently healthy subjects with no history of malignant disease, group II (HCV patients) consisting of 30 HCV-infected patients (positive for </w:t>
            </w:r>
            <w:r w:rsidRPr="0073697F">
              <w:rPr>
                <w:rFonts w:ascii="Times New Roman" w:hAnsi="Times New Roman" w:cs="Times New Roman"/>
                <w:sz w:val="24"/>
                <w:szCs w:val="24"/>
              </w:rPr>
              <w:lastRenderedPageBreak/>
              <w:t>anti-HCV Abs and HCV-RNA); and group III (HCV-HCC patients) consisting of 30 HCC patients above HCV (positive for anti-HCV Abs and HCV-RNA)</w:t>
            </w:r>
          </w:p>
        </w:tc>
        <w:tc>
          <w:tcPr>
            <w:tcW w:w="1738" w:type="pct"/>
          </w:tcPr>
          <w:p w14:paraId="1DE770FC"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VDR plays an important role in vitamin D regulation in autophagy and apoptosis during HCV. VRD works as an anti-inflammatory, antiproliferative, and antitumor genesis. In addition, the results of this study show the important role of VDR in biochemical processes and have </w:t>
            </w:r>
            <w:r w:rsidRPr="0073697F">
              <w:rPr>
                <w:rFonts w:ascii="Times New Roman" w:hAnsi="Times New Roman" w:cs="Times New Roman"/>
                <w:sz w:val="24"/>
                <w:szCs w:val="24"/>
              </w:rPr>
              <w:lastRenderedPageBreak/>
              <w:t>a strong positive correlation with biomarkers of autophagy, LC3, and apoptosis.</w:t>
            </w:r>
          </w:p>
        </w:tc>
      </w:tr>
      <w:tr w:rsidR="0073697F" w:rsidRPr="0073697F" w14:paraId="07BD45FC" w14:textId="77777777" w:rsidTr="0073697F">
        <w:tc>
          <w:tcPr>
            <w:tcW w:w="188" w:type="pct"/>
          </w:tcPr>
          <w:p w14:paraId="64A189C3"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9</w:t>
            </w:r>
          </w:p>
        </w:tc>
        <w:tc>
          <w:tcPr>
            <w:tcW w:w="530" w:type="pct"/>
          </w:tcPr>
          <w:p w14:paraId="242EDD6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{"citationItems":[{"id":"ITEM-1","itemData":{"DOI":"10.1016/j.jbc.2021.100531","ISSN":"1083351X","PMID":"33713706","abstract":"We previously showed that the vitamin D receptor (VDR) plays a crucial role in acute inflammatory bowel disease and that intestinal fibrosis is a common complication of Crohn's disease (CD). Epithelial-mesenchymal transition (EMT) is an important hallmark of fibrogenesis through which epithelial cells lose their epithelial phenotype and transform into mesenchymal cells. It is known that the VDR plays an essential role in epithelial integrity and mitochondrial function, but its role in intestinal fibrosis remains unknown. Here, we investigated whether the VDR is involved in epithelial mitochondrial dysfunction that results in EMT in intestinal fibrosis. Using human CD samples, intestine-specific VDR-KO mice, and fibroblast cellular models, we showed that the expression of the VDR was significantly lower in intestinal stenotic areas than in nonstenotic areas in patients with chronic CD. Genetic deletion of the VDR in the intestinal epithelium exacerbated intestinal fibrosis in mice administered with dextran sulfate sodium or 2,4,6-trinitrobenzene sulfonic acid, two experimental colitis inducers. In addition, we found that vitamin D dietary intervention regulated intestinal fibrosis by modulating the intestinal expression of the VDR. Mechanistically, knocking down the VDR in both CCD-18Co cells and human primary colonic fibroblasts promoted fibroblast activation, whereas VDR overexpression or VDR agonist administration inhibited fibroblast activation. Further analysis illustrated that the VDR inhibited EMT in the HT29 cell model and that mitochondrial dysfunction mediated epithelial integrity and barrier function in VDR-deficient epithelial cells. Together, our data for the first time demonstrate that VDR activation alleviates intestinal fibrosis by inhibiting fibroblast activation and epithelial mitochondria-mediated EMT.","author":[{"dropping-particle":"","family":"Yu","given":"Mengli","non-dropping-particle":"","parse-names":false,"suffix":""},{"dropping-particle":"","family":"Wu","given":"Hao","non-dropping-particle":"","parse-names":false,"suffix":""},{"dropping-particle":"","family":"Wang","given":"Jinhai","non-dropping-particle":"","parse-names":false,"suffix":""},{"dropping-particle":"","family":"Chen","given":"Xueyang","non-dropping-particle":"","parse-names":false,"suffix":""},{"dropping-particle":"","family":"Pan","given":"Jiaqi","non-dropping-particle":"","parse-names":false,"suffix":""},{"dropping-particle":"","family":"Liu","given":"Peihao","non-dropping-particle":"","parse-names":false,"suffix":""},{"dropping-particle":"","family":"Zhang","given":"Jie","non-dropping-particle":"","parse-names":false,"suffix":""},{"dropping-particle":"","family":"Chen","given":"Yishu","non-dropping-particle":"","parse-names":false,"suffix":""},{"dropping-particle":"","family":"Zhu","given":"Wei","non-dropping-particle":"","parse-names":false,"suffix":""},{"dropping-particle":"","family":"Tang","given":"Chenxi","non-dropping-particle":"","parse-names":false,"suffix":""},{"dropping-particle":"","family":"Jin","given":"Qi","non-dropping-particle":"","parse-names":false,"suffix":""},{"dropping-particle":"","family":"Li","given":"Chunxiao","non-dropping-particle":"","parse-names":false,"suffix":""},{"dropping-particle":"","family":"Lu","given":"Chao","non-dropping-particle":"","parse-names":false,"suffix":""},{"dropping-particle":"","family":"Zeng","given":"Hang","non-dropping-particle":"","parse-names":false,"suffix":""},{"dropping-particle":"","family":"Yu","given":"Chaohui","non-dropping-particle":"","parse-names":false,"suffix":""},{"dropping-particle":"","family":"Sun","given":"Jing","non-dropping-particle":"","parse-names":false,"suffix":""}],"container-title":"Journal of Biological Chemistry","id":"ITEM-1","issued":{"date-parts":[["2021"]]},"page":"100531","publisher":"Elsevier B.V","title":"Vitamin D receptor inhibits EMT via regulation of the epithelial mitochondrial function in intestinal fibrosis","type":"article-journal","volume":"296"},"uris":["http://www.mendeley.com/documents/?uuid=da5a5722-504f-4b73-b80c-7411a814b838"]}],"mendeley":{"formattedCitation":"(M. Yu et al., 2021)","plainTextFormattedCitation":"(M. Yu et al., 2021)","previouslyFormattedCitation":"(M. Yu et al., 2021)"},"properties":{"noteIndex":0},"schema":"https://github.com/citation-style-language/schema/raw/master/csl-citation.json"}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(M. Yu et al., 2021)</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Shanghai, China</w:t>
            </w:r>
          </w:p>
        </w:tc>
        <w:tc>
          <w:tcPr>
            <w:tcW w:w="553" w:type="pct"/>
          </w:tcPr>
          <w:p w14:paraId="34EF760E"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Meta-analysis</w:t>
            </w:r>
          </w:p>
        </w:tc>
        <w:tc>
          <w:tcPr>
            <w:tcW w:w="885" w:type="pct"/>
          </w:tcPr>
          <w:p w14:paraId="6190CA2E"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To find out the effect of VDR on the pathogenesis of intestinal fibrosis</w:t>
            </w:r>
          </w:p>
        </w:tc>
        <w:tc>
          <w:tcPr>
            <w:tcW w:w="1106" w:type="pct"/>
          </w:tcPr>
          <w:p w14:paraId="0AA9316A"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19 intestinal tissue samples from Crohn's disease (CD) patients with colonic tissue from stenotic areas and non-stenotic control areas from the same patients with CDs</w:t>
            </w:r>
          </w:p>
        </w:tc>
        <w:tc>
          <w:tcPr>
            <w:tcW w:w="1738" w:type="pct"/>
          </w:tcPr>
          <w:p w14:paraId="17D955CD"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Research shows that VDR significantly alleviates CD-induced intestinal fibrosis by inhibiting fibroblast activation, maintaining epithelial mitochondrial function, and reducing EMT processes, demonstrating the key role of this protein in positively regulating intestinal fibrosis.</w:t>
            </w:r>
          </w:p>
        </w:tc>
      </w:tr>
      <w:tr w:rsidR="0073697F" w:rsidRPr="0073697F" w14:paraId="69CF40A1" w14:textId="77777777" w:rsidTr="0073697F">
        <w:tc>
          <w:tcPr>
            <w:tcW w:w="188" w:type="pct"/>
          </w:tcPr>
          <w:p w14:paraId="033283FB"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10</w:t>
            </w:r>
          </w:p>
        </w:tc>
        <w:tc>
          <w:tcPr>
            <w:tcW w:w="530" w:type="pct"/>
          </w:tcPr>
          <w:p w14:paraId="43FDE6D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fldChar w:fldCharType="begin" w:fldLock="1"/>
            </w:r>
            <w:r w:rsidRPr="0073697F">
              <w:rPr>
                <w:rFonts w:ascii="Times New Roman" w:hAnsi="Times New Roman" w:cs="Times New Roman"/>
                <w:sz w:val="24"/>
                <w:szCs w:val="24"/>
              </w:rPr>
              <w:instrText>ADDIN CSL_CITATION {"citationItems":[{"id":"ITEM-1","itemData":{"author":[{"dropping-particle":"","family":"Guzeeva","given":"Olga","non-dropping-particle":"","parse-names":false,"suffix":""},{"dropping-particle":"","family":"Melnikova","given":"Irina","non-dropping-particle":"","parse-names":false,"suffix":""},{"dropping-particle":"","family":"Larionova","given":"Valentina","non-dropping-particle":"","parse-names":false,"suffix":""},{"dropping-particle":"","family":"Novikova","given":"Valeria","non-dropping-particle":"","parse-names":false,"suffix":""},{"dropping-particle":"","family":"Diana","given":"Kuzmina","non-dropping-particle":"","parse-names":false,"suffix":""}],"id":"ITEM-1","issue":"Suppl 3","issued":{"date-parts":[["2019"]]},"page":"2019","title":"Level Of 25(Oh)-Vitamin D And Vitamin D Receptor (VDR) Gene Polymorphisms In Adolescents With Chronic Gastroduodenitis","type":"article-journal","volume":"25"},"uris":["http://www.mendeley.com/documents/?uuid=d24c7618-3a4e-444c-b88f-9430f70fb0b8"]}],"mendeley":{"formattedCitation":"(Guzeeva et al., 2019)","plainTextFormattedCitation":"(Guzeeva et al., 2019)","previouslyFormattedCitation":"(Guzeeva et al., 2019)"},"properties":{"noteIndex":0},"schema":"https://github.com/citation-style-language/schema/raw/master/csl-citation.json"}</w:instrText>
            </w:r>
            <w:r w:rsidRPr="0073697F">
              <w:rPr>
                <w:rFonts w:ascii="Times New Roman" w:hAnsi="Times New Roman" w:cs="Times New Roman"/>
                <w:sz w:val="24"/>
                <w:szCs w:val="24"/>
              </w:rPr>
              <w:fldChar w:fldCharType="separate"/>
            </w:r>
            <w:r w:rsidRPr="0073697F">
              <w:rPr>
                <w:rFonts w:ascii="Times New Roman" w:hAnsi="Times New Roman" w:cs="Times New Roman"/>
                <w:noProof/>
                <w:sz w:val="24"/>
                <w:szCs w:val="24"/>
              </w:rPr>
              <w:t>(Guzeeva et al., 2019)</w:t>
            </w:r>
            <w:r w:rsidRPr="0073697F">
              <w:rPr>
                <w:rFonts w:ascii="Times New Roman" w:hAnsi="Times New Roman" w:cs="Times New Roman"/>
                <w:sz w:val="24"/>
                <w:szCs w:val="24"/>
              </w:rPr>
              <w:fldChar w:fldCharType="end"/>
            </w:r>
            <w:r w:rsidRPr="0073697F">
              <w:rPr>
                <w:rFonts w:ascii="Times New Roman" w:hAnsi="Times New Roman" w:cs="Times New Roman"/>
                <w:sz w:val="24"/>
                <w:szCs w:val="24"/>
              </w:rPr>
              <w:t>/ Moscow, Russia</w:t>
            </w:r>
          </w:p>
        </w:tc>
        <w:tc>
          <w:tcPr>
            <w:tcW w:w="553" w:type="pct"/>
          </w:tcPr>
          <w:p w14:paraId="7E8D717D"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Cross-sectional</w:t>
            </w:r>
          </w:p>
        </w:tc>
        <w:tc>
          <w:tcPr>
            <w:tcW w:w="885" w:type="pct"/>
          </w:tcPr>
          <w:p w14:paraId="1347BFC6"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To study 25(OH)-vitamin D levels, vitamin D receptor gene polymorphisms </w:t>
            </w:r>
            <w:r w:rsidRPr="0073697F">
              <w:rPr>
                <w:rFonts w:ascii="Times New Roman" w:hAnsi="Times New Roman" w:cs="Times New Roman"/>
                <w:sz w:val="24"/>
                <w:szCs w:val="24"/>
              </w:rPr>
              <w:lastRenderedPageBreak/>
              <w:t xml:space="preserve">and bone metabolism in adolescents with chronic </w:t>
            </w:r>
            <w:proofErr w:type="spellStart"/>
            <w:r w:rsidRPr="0073697F">
              <w:rPr>
                <w:rFonts w:ascii="Times New Roman" w:hAnsi="Times New Roman" w:cs="Times New Roman"/>
                <w:sz w:val="24"/>
                <w:szCs w:val="24"/>
              </w:rPr>
              <w:t>gastroduodenitis</w:t>
            </w:r>
            <w:proofErr w:type="spellEnd"/>
            <w:r w:rsidRPr="0073697F">
              <w:rPr>
                <w:rFonts w:ascii="Times New Roman" w:hAnsi="Times New Roman" w:cs="Times New Roman"/>
                <w:sz w:val="24"/>
                <w:szCs w:val="24"/>
              </w:rPr>
              <w:t xml:space="preserve"> in helicobacter pylori (HP) infection-dependent.</w:t>
            </w:r>
          </w:p>
        </w:tc>
        <w:tc>
          <w:tcPr>
            <w:tcW w:w="1106" w:type="pct"/>
          </w:tcPr>
          <w:p w14:paraId="4294D00B"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The sample was 51 adolescents aged 12 to 15 years old. Group 1 </w:t>
            </w:r>
            <w:r w:rsidRPr="0073697F">
              <w:rPr>
                <w:rFonts w:ascii="Times New Roman" w:hAnsi="Times New Roman" w:cs="Times New Roman"/>
                <w:sz w:val="24"/>
                <w:szCs w:val="24"/>
              </w:rPr>
              <w:lastRenderedPageBreak/>
              <w:t>contained 19 patients with helicobacter pylori (HP) infection and another 32 children without HP infection were put into group 2</w:t>
            </w:r>
          </w:p>
        </w:tc>
        <w:tc>
          <w:tcPr>
            <w:tcW w:w="1738" w:type="pct"/>
          </w:tcPr>
          <w:p w14:paraId="61FE09EA"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 xml:space="preserve">In adolescents with chronic </w:t>
            </w:r>
            <w:proofErr w:type="spellStart"/>
            <w:r w:rsidRPr="0073697F">
              <w:rPr>
                <w:rFonts w:ascii="Times New Roman" w:hAnsi="Times New Roman" w:cs="Times New Roman"/>
                <w:sz w:val="24"/>
                <w:szCs w:val="24"/>
              </w:rPr>
              <w:t>gastroduodenitis</w:t>
            </w:r>
            <w:proofErr w:type="spellEnd"/>
            <w:r w:rsidRPr="0073697F">
              <w:rPr>
                <w:rFonts w:ascii="Times New Roman" w:hAnsi="Times New Roman" w:cs="Times New Roman"/>
                <w:sz w:val="24"/>
                <w:szCs w:val="24"/>
              </w:rPr>
              <w:t>, bone metabolism and 25(OH)-</w:t>
            </w:r>
            <w:r w:rsidRPr="0073697F">
              <w:rPr>
                <w:rFonts w:ascii="Times New Roman" w:hAnsi="Times New Roman" w:cs="Times New Roman"/>
                <w:sz w:val="24"/>
                <w:szCs w:val="24"/>
              </w:rPr>
              <w:lastRenderedPageBreak/>
              <w:t>vitamin D levels are linked to the VDR genetic polymorphism gene, and the presence of Helicobacter Pylori infection. VDR levels help kill and lower infections due to Helicobacter Pylori and increase bone density.</w:t>
            </w:r>
          </w:p>
        </w:tc>
      </w:tr>
      <w:tr w:rsidR="0073697F" w:rsidRPr="0073697F" w14:paraId="52F01FCC" w14:textId="77777777" w:rsidTr="0073697F">
        <w:tc>
          <w:tcPr>
            <w:tcW w:w="188" w:type="pct"/>
          </w:tcPr>
          <w:p w14:paraId="4EEF4C89"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lastRenderedPageBreak/>
              <w:t>11</w:t>
            </w:r>
          </w:p>
        </w:tc>
        <w:tc>
          <w:tcPr>
            <w:tcW w:w="530" w:type="pct"/>
          </w:tcPr>
          <w:p w14:paraId="4D57FAC3" w14:textId="77777777" w:rsidR="0073697F" w:rsidRPr="0073697F" w:rsidRDefault="0073697F" w:rsidP="0073697F">
            <w:pPr>
              <w:jc w:val="both"/>
              <w:rPr>
                <w:rFonts w:ascii="Times New Roman" w:hAnsi="Times New Roman" w:cs="Times New Roman"/>
                <w:sz w:val="24"/>
                <w:szCs w:val="24"/>
              </w:rPr>
            </w:pPr>
            <w:proofErr w:type="spellStart"/>
            <w:r w:rsidRPr="0073697F">
              <w:rPr>
                <w:rFonts w:ascii="Times New Roman" w:hAnsi="Times New Roman" w:cs="Times New Roman"/>
                <w:sz w:val="24"/>
                <w:szCs w:val="24"/>
              </w:rPr>
              <w:t>O’Brieen</w:t>
            </w:r>
            <w:proofErr w:type="spellEnd"/>
            <w:r w:rsidRPr="0073697F">
              <w:rPr>
                <w:rFonts w:ascii="Times New Roman" w:hAnsi="Times New Roman" w:cs="Times New Roman"/>
                <w:sz w:val="24"/>
                <w:szCs w:val="24"/>
              </w:rPr>
              <w:t xml:space="preserve"> et al.,</w:t>
            </w:r>
          </w:p>
        </w:tc>
        <w:tc>
          <w:tcPr>
            <w:tcW w:w="553" w:type="pct"/>
          </w:tcPr>
          <w:p w14:paraId="433BE042"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Cohort Study</w:t>
            </w:r>
          </w:p>
        </w:tc>
        <w:tc>
          <w:tcPr>
            <w:tcW w:w="885" w:type="pct"/>
          </w:tcPr>
          <w:p w14:paraId="6B172083"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study the relationship between serum vitamin D, DNA methylation, and breast cancer</w:t>
            </w:r>
          </w:p>
        </w:tc>
        <w:tc>
          <w:tcPr>
            <w:tcW w:w="1106" w:type="pct"/>
          </w:tcPr>
          <w:p w14:paraId="714727F0"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there were 1,070 cases, out of which 1,227 were found in white women who are at risk of breast cancer.</w:t>
            </w:r>
          </w:p>
        </w:tc>
        <w:tc>
          <w:tcPr>
            <w:tcW w:w="1738" w:type="pct"/>
          </w:tcPr>
          <w:p w14:paraId="51D4272F" w14:textId="77777777" w:rsidR="0073697F" w:rsidRPr="0073697F" w:rsidRDefault="0073697F" w:rsidP="0073697F">
            <w:pPr>
              <w:jc w:val="both"/>
              <w:rPr>
                <w:rFonts w:ascii="Times New Roman" w:hAnsi="Times New Roman" w:cs="Times New Roman"/>
                <w:sz w:val="24"/>
                <w:szCs w:val="24"/>
              </w:rPr>
            </w:pPr>
            <w:r w:rsidRPr="0073697F">
              <w:rPr>
                <w:rFonts w:ascii="Times New Roman" w:hAnsi="Times New Roman" w:cs="Times New Roman"/>
                <w:sz w:val="24"/>
                <w:szCs w:val="24"/>
              </w:rPr>
              <w:t xml:space="preserve">The concentration of 25(OH)D is associated with DNA methylation of </w:t>
            </w:r>
            <w:proofErr w:type="spellStart"/>
            <w:r w:rsidRPr="0073697F">
              <w:rPr>
                <w:rFonts w:ascii="Times New Roman" w:hAnsi="Times New Roman" w:cs="Times New Roman"/>
                <w:sz w:val="24"/>
                <w:szCs w:val="24"/>
              </w:rPr>
              <w:t>CpGs</w:t>
            </w:r>
            <w:proofErr w:type="spellEnd"/>
            <w:r w:rsidRPr="0073697F">
              <w:rPr>
                <w:rFonts w:ascii="Times New Roman" w:hAnsi="Times New Roman" w:cs="Times New Roman"/>
                <w:sz w:val="24"/>
                <w:szCs w:val="24"/>
              </w:rPr>
              <w:t xml:space="preserve"> in several vitamin D-related genes, with potential associations with genes related to immune function. </w:t>
            </w:r>
            <w:proofErr w:type="spellStart"/>
            <w:r w:rsidRPr="0073697F">
              <w:rPr>
                <w:rFonts w:ascii="Times New Roman" w:hAnsi="Times New Roman" w:cs="Times New Roman"/>
                <w:sz w:val="24"/>
                <w:szCs w:val="24"/>
              </w:rPr>
              <w:t>CpGs</w:t>
            </w:r>
            <w:proofErr w:type="spellEnd"/>
            <w:r w:rsidRPr="0073697F">
              <w:rPr>
                <w:rFonts w:ascii="Times New Roman" w:hAnsi="Times New Roman" w:cs="Times New Roman"/>
                <w:sz w:val="24"/>
                <w:szCs w:val="24"/>
              </w:rPr>
              <w:t xml:space="preserve"> methylation in genes associated with vitamin D may interact with 25(OH)D to influence breast cancer risk.</w:t>
            </w:r>
          </w:p>
        </w:tc>
      </w:tr>
    </w:tbl>
    <w:p w14:paraId="400EC0EF" w14:textId="58228E89" w:rsidR="00D21319" w:rsidRPr="0073697F" w:rsidRDefault="00D21319" w:rsidP="0073697F">
      <w:pPr>
        <w:rPr>
          <w:rFonts w:ascii="Times New Roman" w:hAnsi="Times New Roman" w:cs="Times New Roman"/>
          <w:sz w:val="24"/>
          <w:szCs w:val="24"/>
        </w:rPr>
      </w:pPr>
    </w:p>
    <w:sectPr w:rsidR="00D21319" w:rsidRPr="0073697F" w:rsidSect="0073697F">
      <w:headerReference w:type="default" r:id="rId10"/>
      <w:footerReference w:type="default" r:id="rId11"/>
      <w:headerReference w:type="first" r:id="rId12"/>
      <w:footerReference w:type="first" r:id="rId13"/>
      <w:pgSz w:w="12240" w:h="15840"/>
      <w:pgMar w:top="1440" w:right="1440" w:bottom="1440" w:left="1440" w:header="708" w:footer="708" w:gutter="0"/>
      <w:pgNumType w:start="8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4736" w14:textId="77777777" w:rsidR="007D0F54" w:rsidRDefault="007D0F54" w:rsidP="00ED7C06">
      <w:pPr>
        <w:spacing w:after="0" w:line="240" w:lineRule="auto"/>
      </w:pPr>
      <w:r>
        <w:separator/>
      </w:r>
    </w:p>
  </w:endnote>
  <w:endnote w:type="continuationSeparator" w:id="0">
    <w:p w14:paraId="6DAD0884" w14:textId="77777777" w:rsidR="007D0F54" w:rsidRDefault="007D0F54" w:rsidP="00E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Traditional Arabic">
    <w:charset w:val="B2"/>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A1A2" w14:textId="15A66F2E" w:rsidR="00581599" w:rsidRDefault="00581599">
    <w:pPr>
      <w:pStyle w:val="Footer"/>
    </w:pPr>
    <w:r>
      <w:rPr>
        <w:noProof/>
      </w:rPr>
      <w:drawing>
        <wp:inline distT="0" distB="0" distL="0" distR="0" wp14:anchorId="7A377F33" wp14:editId="7C66FA8A">
          <wp:extent cx="28194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1141" w14:textId="77777777" w:rsidR="00F35764" w:rsidRPr="008161C6" w:rsidRDefault="00F35764" w:rsidP="00F35764">
    <w:pPr>
      <w:spacing w:before="70"/>
      <w:ind w:right="137"/>
      <w:jc w:val="both"/>
      <w:rPr>
        <w:sz w:val="16"/>
        <w:szCs w:val="16"/>
      </w:rPr>
    </w:pPr>
    <w:r w:rsidRPr="00F35764">
      <w:rPr>
        <w:noProof/>
      </w:rPr>
      <w:drawing>
        <wp:anchor distT="0" distB="0" distL="114300" distR="114300" simplePos="0" relativeHeight="251663360" behindDoc="0" locked="0" layoutInCell="1" allowOverlap="1" wp14:anchorId="5CE92041" wp14:editId="7687429D">
          <wp:simplePos x="0" y="0"/>
          <wp:positionH relativeFrom="margin">
            <wp:align>left</wp:align>
          </wp:positionH>
          <wp:positionV relativeFrom="paragraph">
            <wp:posOffset>32152</wp:posOffset>
          </wp:positionV>
          <wp:extent cx="1303614" cy="479953"/>
          <wp:effectExtent l="0" t="0" r="0" b="0"/>
          <wp:wrapThrough wrapText="bothSides">
            <wp:wrapPolygon edited="0">
              <wp:start x="0" y="0"/>
              <wp:lineTo x="0" y="20599"/>
              <wp:lineTo x="21158" y="20599"/>
              <wp:lineTo x="211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614" cy="479953"/>
                  </a:xfrm>
                  <a:prstGeom prst="rect">
                    <a:avLst/>
                  </a:prstGeom>
                </pic:spPr>
              </pic:pic>
            </a:graphicData>
          </a:graphic>
        </wp:anchor>
      </w:drawing>
    </w:r>
    <w:r w:rsidRPr="00F35764">
      <w:rPr>
        <w:sz w:val="16"/>
        <w:szCs w:val="16"/>
      </w:rPr>
      <w:t xml:space="preserve"> </w:t>
    </w:r>
    <w:r w:rsidRPr="008161C6">
      <w:rPr>
        <w:sz w:val="16"/>
        <w:szCs w:val="16"/>
      </w:rPr>
      <w:t>All</w:t>
    </w:r>
    <w:r w:rsidRPr="008161C6">
      <w:rPr>
        <w:spacing w:val="1"/>
        <w:sz w:val="16"/>
        <w:szCs w:val="16"/>
      </w:rPr>
      <w:t xml:space="preserve"> </w:t>
    </w:r>
    <w:r w:rsidRPr="008161C6">
      <w:rPr>
        <w:sz w:val="16"/>
        <w:szCs w:val="16"/>
      </w:rPr>
      <w:t>the</w:t>
    </w:r>
    <w:r w:rsidRPr="008161C6">
      <w:rPr>
        <w:spacing w:val="1"/>
        <w:sz w:val="16"/>
        <w:szCs w:val="16"/>
      </w:rPr>
      <w:t xml:space="preserve"> </w:t>
    </w:r>
    <w:r w:rsidRPr="008161C6">
      <w:rPr>
        <w:sz w:val="16"/>
        <w:szCs w:val="16"/>
      </w:rPr>
      <w:t>articles</w:t>
    </w:r>
    <w:r w:rsidRPr="008161C6">
      <w:rPr>
        <w:spacing w:val="1"/>
        <w:sz w:val="16"/>
        <w:szCs w:val="16"/>
      </w:rPr>
      <w:t xml:space="preserve"> </w:t>
    </w:r>
    <w:r w:rsidRPr="008161C6">
      <w:rPr>
        <w:sz w:val="16"/>
        <w:szCs w:val="16"/>
      </w:rPr>
      <w:t>published</w:t>
    </w:r>
    <w:r w:rsidRPr="008161C6">
      <w:rPr>
        <w:spacing w:val="1"/>
        <w:sz w:val="16"/>
        <w:szCs w:val="16"/>
      </w:rPr>
      <w:t xml:space="preserve"> </w:t>
    </w:r>
    <w:r w:rsidRPr="008161C6">
      <w:rPr>
        <w:sz w:val="16"/>
        <w:szCs w:val="16"/>
      </w:rPr>
      <w:t>by</w:t>
    </w:r>
    <w:r w:rsidRPr="008161C6">
      <w:rPr>
        <w:spacing w:val="1"/>
        <w:sz w:val="16"/>
        <w:szCs w:val="16"/>
      </w:rPr>
      <w:t xml:space="preserve"> </w:t>
    </w:r>
    <w:r w:rsidRPr="008161C6">
      <w:rPr>
        <w:sz w:val="16"/>
        <w:szCs w:val="16"/>
      </w:rPr>
      <w:t>Chelonian Conservation and Biology</w:t>
    </w:r>
    <w:r w:rsidRPr="008161C6">
      <w:rPr>
        <w:color w:val="0000FF"/>
        <w:spacing w:val="1"/>
        <w:sz w:val="16"/>
        <w:szCs w:val="16"/>
      </w:rPr>
      <w:t xml:space="preserve"> </w:t>
    </w:r>
    <w:r w:rsidRPr="008161C6">
      <w:rPr>
        <w:sz w:val="16"/>
        <w:szCs w:val="16"/>
      </w:rPr>
      <w:t>are</w:t>
    </w:r>
    <w:r w:rsidRPr="008161C6">
      <w:rPr>
        <w:spacing w:val="1"/>
        <w:sz w:val="16"/>
        <w:szCs w:val="16"/>
      </w:rPr>
      <w:t xml:space="preserve"> </w:t>
    </w:r>
    <w:r w:rsidRPr="008161C6">
      <w:rPr>
        <w:sz w:val="16"/>
        <w:szCs w:val="16"/>
      </w:rPr>
      <w:t>licensed</w:t>
    </w:r>
    <w:r w:rsidRPr="008161C6">
      <w:rPr>
        <w:spacing w:val="1"/>
        <w:sz w:val="16"/>
        <w:szCs w:val="16"/>
      </w:rPr>
      <w:t xml:space="preserve"> </w:t>
    </w:r>
    <w:r w:rsidRPr="008161C6">
      <w:rPr>
        <w:sz w:val="16"/>
        <w:szCs w:val="16"/>
      </w:rPr>
      <w:t>under</w:t>
    </w:r>
    <w:r w:rsidRPr="008161C6">
      <w:rPr>
        <w:spacing w:val="1"/>
        <w:sz w:val="16"/>
        <w:szCs w:val="16"/>
      </w:rPr>
      <w:t xml:space="preserve"> </w:t>
    </w:r>
    <w:r w:rsidRPr="008161C6">
      <w:rPr>
        <w:sz w:val="16"/>
        <w:szCs w:val="16"/>
      </w:rPr>
      <w:t>a</w:t>
    </w:r>
    <w:r w:rsidRPr="008161C6">
      <w:rPr>
        <w:spacing w:val="-37"/>
        <w:sz w:val="16"/>
        <w:szCs w:val="16"/>
      </w:rPr>
      <w:t xml:space="preserve"> </w:t>
    </w:r>
    <w:hyperlink r:id="rId2">
      <w:r w:rsidRPr="008161C6">
        <w:rPr>
          <w:color w:val="0000FF"/>
          <w:sz w:val="16"/>
          <w:szCs w:val="16"/>
        </w:rPr>
        <w:t>Creative</w:t>
      </w:r>
      <w:r w:rsidRPr="008161C6">
        <w:rPr>
          <w:color w:val="0000FF"/>
          <w:spacing w:val="1"/>
          <w:sz w:val="16"/>
          <w:szCs w:val="16"/>
        </w:rPr>
        <w:t xml:space="preserve"> </w:t>
      </w:r>
      <w:r w:rsidRPr="008161C6">
        <w:rPr>
          <w:color w:val="0000FF"/>
          <w:sz w:val="16"/>
          <w:szCs w:val="16"/>
        </w:rPr>
        <w:t>Commons</w:t>
      </w:r>
      <w:r w:rsidRPr="008161C6">
        <w:rPr>
          <w:color w:val="0000FF"/>
          <w:spacing w:val="1"/>
          <w:sz w:val="16"/>
          <w:szCs w:val="16"/>
        </w:rPr>
        <w:t xml:space="preserve"> </w:t>
      </w:r>
      <w:r w:rsidRPr="008161C6">
        <w:rPr>
          <w:color w:val="0000FF"/>
          <w:sz w:val="16"/>
          <w:szCs w:val="16"/>
        </w:rPr>
        <w:t>Attribution-NonCommercial</w:t>
      </w:r>
      <w:r w:rsidRPr="008161C6">
        <w:rPr>
          <w:color w:val="0000FF"/>
          <w:spacing w:val="1"/>
          <w:sz w:val="16"/>
          <w:szCs w:val="16"/>
        </w:rPr>
        <w:t xml:space="preserve"> </w:t>
      </w:r>
      <w:r w:rsidRPr="008161C6">
        <w:rPr>
          <w:color w:val="0000FF"/>
          <w:sz w:val="16"/>
          <w:szCs w:val="16"/>
        </w:rPr>
        <w:t>4.0</w:t>
      </w:r>
    </w:hyperlink>
    <w:r w:rsidRPr="008161C6">
      <w:rPr>
        <w:color w:val="0000FF"/>
        <w:spacing w:val="1"/>
        <w:sz w:val="16"/>
        <w:szCs w:val="16"/>
      </w:rPr>
      <w:t xml:space="preserve"> </w:t>
    </w:r>
    <w:r w:rsidRPr="008161C6">
      <w:rPr>
        <w:sz w:val="16"/>
        <w:szCs w:val="16"/>
      </w:rPr>
      <w:t>International</w:t>
    </w:r>
    <w:r w:rsidRPr="008161C6">
      <w:rPr>
        <w:spacing w:val="-4"/>
        <w:sz w:val="16"/>
        <w:szCs w:val="16"/>
      </w:rPr>
      <w:t xml:space="preserve"> </w:t>
    </w:r>
    <w:r w:rsidRPr="008161C6">
      <w:rPr>
        <w:sz w:val="16"/>
        <w:szCs w:val="16"/>
      </w:rPr>
      <w:t>License</w:t>
    </w:r>
    <w:r w:rsidRPr="008161C6">
      <w:rPr>
        <w:spacing w:val="-4"/>
        <w:sz w:val="16"/>
        <w:szCs w:val="16"/>
      </w:rPr>
      <w:t xml:space="preserve"> </w:t>
    </w:r>
    <w:r w:rsidRPr="008161C6">
      <w:rPr>
        <w:sz w:val="16"/>
        <w:szCs w:val="16"/>
      </w:rPr>
      <w:t>Based</w:t>
    </w:r>
    <w:r w:rsidRPr="008161C6">
      <w:rPr>
        <w:spacing w:val="-1"/>
        <w:sz w:val="16"/>
        <w:szCs w:val="16"/>
      </w:rPr>
      <w:t xml:space="preserve"> </w:t>
    </w:r>
    <w:r w:rsidRPr="008161C6">
      <w:rPr>
        <w:sz w:val="16"/>
        <w:szCs w:val="16"/>
      </w:rPr>
      <w:t>on</w:t>
    </w:r>
    <w:r w:rsidRPr="008161C6">
      <w:rPr>
        <w:spacing w:val="-3"/>
        <w:sz w:val="16"/>
        <w:szCs w:val="16"/>
      </w:rPr>
      <w:t xml:space="preserve"> </w:t>
    </w:r>
    <w:r w:rsidRPr="008161C6">
      <w:rPr>
        <w:sz w:val="16"/>
        <w:szCs w:val="16"/>
      </w:rPr>
      <w:t>a</w:t>
    </w:r>
    <w:r w:rsidRPr="008161C6">
      <w:rPr>
        <w:spacing w:val="-4"/>
        <w:sz w:val="16"/>
        <w:szCs w:val="16"/>
      </w:rPr>
      <w:t xml:space="preserve"> </w:t>
    </w:r>
    <w:r w:rsidRPr="008161C6">
      <w:rPr>
        <w:sz w:val="16"/>
        <w:szCs w:val="16"/>
      </w:rPr>
      <w:t>work</w:t>
    </w:r>
    <w:r w:rsidRPr="008161C6">
      <w:rPr>
        <w:spacing w:val="-1"/>
        <w:sz w:val="16"/>
        <w:szCs w:val="16"/>
      </w:rPr>
      <w:t xml:space="preserve"> </w:t>
    </w:r>
    <w:r w:rsidRPr="008161C6">
      <w:rPr>
        <w:sz w:val="16"/>
        <w:szCs w:val="16"/>
      </w:rPr>
      <w:t>at</w:t>
    </w:r>
    <w:r w:rsidRPr="008161C6">
      <w:rPr>
        <w:spacing w:val="2"/>
        <w:sz w:val="16"/>
        <w:szCs w:val="16"/>
      </w:rPr>
      <w:t xml:space="preserve"> </w:t>
    </w:r>
    <w:r w:rsidRPr="008161C6">
      <w:rPr>
        <w:sz w:val="16"/>
        <w:szCs w:val="16"/>
      </w:rPr>
      <w:t>https://www.acgpublishing.com/</w:t>
    </w:r>
  </w:p>
  <w:p w14:paraId="6207B64A" w14:textId="77777777" w:rsidR="00F35764" w:rsidRDefault="00F35764" w:rsidP="00F35764">
    <w:pPr>
      <w:pStyle w:val="Footer"/>
    </w:pPr>
  </w:p>
  <w:sdt>
    <w:sdtPr>
      <w:id w:val="-175034164"/>
      <w:docPartObj>
        <w:docPartGallery w:val="Page Numbers (Bottom of Page)"/>
        <w:docPartUnique/>
      </w:docPartObj>
    </w:sdtPr>
    <w:sdtEndPr>
      <w:rPr>
        <w:color w:val="7F7F7F" w:themeColor="background1" w:themeShade="7F"/>
        <w:spacing w:val="60"/>
      </w:rPr>
    </w:sdtEndPr>
    <w:sdtContent>
      <w:p w14:paraId="6540DF6D" w14:textId="14BE8540" w:rsidR="00F35764" w:rsidRDefault="00F357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B58728" w14:textId="77777777" w:rsidR="00000000" w:rsidRDefault="007D0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E40F" w14:textId="77777777" w:rsidR="007D0F54" w:rsidRDefault="007D0F54" w:rsidP="00ED7C06">
      <w:pPr>
        <w:spacing w:after="0" w:line="240" w:lineRule="auto"/>
      </w:pPr>
      <w:r>
        <w:separator/>
      </w:r>
    </w:p>
  </w:footnote>
  <w:footnote w:type="continuationSeparator" w:id="0">
    <w:p w14:paraId="0DB3874E" w14:textId="77777777" w:rsidR="007D0F54" w:rsidRDefault="007D0F54" w:rsidP="00ED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4289" w14:textId="77777777" w:rsidR="00581599" w:rsidRDefault="00581599" w:rsidP="00DF38EF">
    <w:pPr>
      <w:pStyle w:val="BodyText"/>
      <w:spacing w:line="14" w:lineRule="auto"/>
      <w:jc w:val="center"/>
      <w:rPr>
        <w:sz w:val="20"/>
      </w:rPr>
    </w:pPr>
  </w:p>
  <w:p w14:paraId="4219F7B2" w14:textId="470874B6" w:rsidR="00F35764" w:rsidRDefault="00C155D4" w:rsidP="00DF38EF">
    <w:pPr>
      <w:pStyle w:val="BodyText"/>
      <w:spacing w:line="14" w:lineRule="auto"/>
      <w:jc w:val="center"/>
      <w:rPr>
        <w:sz w:val="20"/>
      </w:rPr>
    </w:pPr>
    <w:r>
      <w:rPr>
        <w:noProof/>
      </w:rPr>
      <mc:AlternateContent>
        <mc:Choice Requires="wps">
          <w:drawing>
            <wp:anchor distT="0" distB="0" distL="114300" distR="114300" simplePos="0" relativeHeight="251660800" behindDoc="1" locked="0" layoutInCell="1" allowOverlap="1" wp14:anchorId="30B246DC" wp14:editId="5E94D83B">
              <wp:simplePos x="0" y="0"/>
              <wp:positionH relativeFrom="page">
                <wp:posOffset>898187</wp:posOffset>
              </wp:positionH>
              <wp:positionV relativeFrom="page">
                <wp:posOffset>624060</wp:posOffset>
              </wp:positionV>
              <wp:extent cx="6012180" cy="263405"/>
              <wp:effectExtent l="0" t="0" r="762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6340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19AC" id="Rectangle 12" o:spid="_x0000_s1026" style="position:absolute;margin-left:70.7pt;margin-top:49.15pt;width:473.4pt;height:20.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" fillcolor="#8db3e1" stroked="f">
              <w10:wrap anchorx="page" anchory="page"/>
            </v:rect>
          </w:pict>
        </mc:Fallback>
      </mc:AlternateContent>
    </w:r>
    <w:r w:rsidR="00F35764">
      <w:rPr>
        <w:noProof/>
      </w:rPr>
      <mc:AlternateContent>
        <mc:Choice Requires="wps">
          <w:drawing>
            <wp:anchor distT="0" distB="0" distL="114300" distR="114300" simplePos="0" relativeHeight="251728384" behindDoc="1" locked="0" layoutInCell="1" allowOverlap="1" wp14:anchorId="5BE088FC" wp14:editId="64158BF2">
              <wp:simplePos x="0" y="0"/>
              <wp:positionH relativeFrom="page">
                <wp:posOffset>1221425</wp:posOffset>
              </wp:positionH>
              <wp:positionV relativeFrom="page">
                <wp:posOffset>660771</wp:posOffset>
              </wp:positionV>
              <wp:extent cx="5607854" cy="226931"/>
              <wp:effectExtent l="0" t="0" r="1206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854" cy="226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43D0" w14:textId="2AA90750" w:rsidR="00F35764" w:rsidRPr="00804664" w:rsidRDefault="0073697F" w:rsidP="005D754B">
                          <w:pPr>
                            <w:spacing w:before="14"/>
                            <w:ind w:left="20"/>
                            <w:jc w:val="center"/>
                            <w:rPr>
                              <w:b/>
                              <w:bCs/>
                              <w:sz w:val="12"/>
                              <w:szCs w:val="12"/>
                            </w:rPr>
                          </w:pPr>
                          <w:r w:rsidRPr="0073697F">
                            <w:rPr>
                              <w:b/>
                              <w:bCs/>
                              <w:sz w:val="12"/>
                              <w:szCs w:val="12"/>
                            </w:rPr>
                            <w:t>VDR LOWERS THE RISK OF INFECTION TO IMPROVE THE QUALITY OF NURSING SERVICES: A SYSTEMATIC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088FC" id="_x0000_t202" coordsize="21600,21600" o:spt="202" path="m,l,21600r21600,l21600,xe">
              <v:stroke joinstyle="miter"/>
              <v:path gradientshapeok="t" o:connecttype="rect"/>
            </v:shapetype>
            <v:shape id="Text Box 10" o:spid="_x0000_s1026" type="#_x0000_t202" style="position:absolute;left:0;text-align:left;margin-left:96.2pt;margin-top:52.05pt;width:441.55pt;height:17.8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" filled="f" stroked="f">
              <v:textbox inset="0,0,0,0">
                <w:txbxContent>
                  <w:p w14:paraId="1E7243D0" w14:textId="2AA90750" w:rsidR="00F35764" w:rsidRPr="00804664" w:rsidRDefault="0073697F" w:rsidP="005D754B">
                    <w:pPr>
                      <w:spacing w:before="14"/>
                      <w:ind w:left="20"/>
                      <w:jc w:val="center"/>
                      <w:rPr>
                        <w:b/>
                        <w:bCs/>
                        <w:sz w:val="12"/>
                        <w:szCs w:val="12"/>
                      </w:rPr>
                    </w:pPr>
                    <w:r w:rsidRPr="0073697F">
                      <w:rPr>
                        <w:b/>
                        <w:bCs/>
                        <w:sz w:val="12"/>
                        <w:szCs w:val="12"/>
                      </w:rPr>
                      <w:t>VDR LOWERS THE RISK OF INFECTION TO IMPROVE THE QUALITY OF NURSING SERVICES: A SYSTEMATIC REVIEW</w:t>
                    </w:r>
                  </w:p>
                </w:txbxContent>
              </v:textbox>
              <w10:wrap anchorx="page" anchory="page"/>
            </v:shape>
          </w:pict>
        </mc:Fallback>
      </mc:AlternateContent>
    </w:r>
    <w:r w:rsidR="00F35764">
      <w:rPr>
        <w:noProof/>
      </w:rPr>
      <mc:AlternateContent>
        <mc:Choice Requires="wps">
          <w:drawing>
            <wp:anchor distT="0" distB="0" distL="114300" distR="114300" simplePos="0" relativeHeight="251694592" behindDoc="1" locked="0" layoutInCell="1" allowOverlap="1" wp14:anchorId="42554262" wp14:editId="0F2A92D3">
              <wp:simplePos x="0" y="0"/>
              <wp:positionH relativeFrom="page">
                <wp:posOffset>952500</wp:posOffset>
              </wp:positionH>
              <wp:positionV relativeFrom="page">
                <wp:posOffset>659765</wp:posOffset>
              </wp:positionV>
              <wp:extent cx="229870" cy="13906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0E27" w14:textId="77777777" w:rsidR="00F35764" w:rsidRDefault="00F35764" w:rsidP="00F35764">
                          <w:pPr>
                            <w:spacing w:before="14"/>
                            <w:ind w:left="60"/>
                            <w:rPr>
                              <w:sz w:val="16"/>
                            </w:rPr>
                          </w:pPr>
                          <w:r>
                            <w:fldChar w:fldCharType="begin"/>
                          </w:r>
                          <w:r>
                            <w:rPr>
                              <w:sz w:val="16"/>
                            </w:rPr>
                            <w:instrText xml:space="preserve"> PAGE </w:instrText>
                          </w:r>
                          <w:r>
                            <w:fldChar w:fldCharType="separate"/>
                          </w:r>
                          <w:r>
                            <w:t>627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4262" id="Text Box 11" o:spid="_x0000_s1027" type="#_x0000_t202" style="position:absolute;left:0;text-align:left;margin-left:75pt;margin-top:51.95pt;width:18.1pt;height:10.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" filled="f" stroked="f">
              <v:textbox inset="0,0,0,0">
                <w:txbxContent>
                  <w:p w14:paraId="4FF40E27" w14:textId="77777777" w:rsidR="00F35764" w:rsidRDefault="00F35764" w:rsidP="00F35764">
                    <w:pPr>
                      <w:spacing w:before="14"/>
                      <w:ind w:left="60"/>
                      <w:rPr>
                        <w:sz w:val="16"/>
                      </w:rPr>
                    </w:pPr>
                    <w:r>
                      <w:fldChar w:fldCharType="begin"/>
                    </w:r>
                    <w:r>
                      <w:rPr>
                        <w:sz w:val="16"/>
                      </w:rPr>
                      <w:instrText xml:space="preserve"> PAGE </w:instrText>
                    </w:r>
                    <w:r>
                      <w:fldChar w:fldCharType="separate"/>
                    </w:r>
                    <w:r>
                      <w:t>627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C19" w14:textId="6E147E0F" w:rsidR="0003311F" w:rsidRDefault="0003311F" w:rsidP="00ED7C06">
    <w:pPr>
      <w:pStyle w:val="Header"/>
    </w:pPr>
    <w:r>
      <w:rPr>
        <w:noProof/>
      </w:rPr>
      <w:drawing>
        <wp:anchor distT="0" distB="0" distL="114300" distR="114300" simplePos="0" relativeHeight="251732480" behindDoc="0" locked="0" layoutInCell="1" allowOverlap="1" wp14:anchorId="614CFC35" wp14:editId="40DC6F62">
          <wp:simplePos x="0" y="0"/>
          <wp:positionH relativeFrom="column">
            <wp:posOffset>5094281</wp:posOffset>
          </wp:positionH>
          <wp:positionV relativeFrom="paragraph">
            <wp:posOffset>135359</wp:posOffset>
          </wp:positionV>
          <wp:extent cx="793899" cy="304509"/>
          <wp:effectExtent l="0" t="0" r="635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99" cy="304509"/>
                  </a:xfrm>
                  <a:prstGeom prst="rect">
                    <a:avLst/>
                  </a:prstGeom>
                  <a:noFill/>
                </pic:spPr>
              </pic:pic>
            </a:graphicData>
          </a:graphic>
          <wp14:sizeRelH relativeFrom="margin">
            <wp14:pctWidth>0</wp14:pctWidth>
          </wp14:sizeRelH>
          <wp14:sizeRelV relativeFrom="margin">
            <wp14:pctHeight>0</wp14:pctHeight>
          </wp14:sizeRelV>
        </wp:anchor>
      </w:drawing>
    </w:r>
    <w:r w:rsidR="00ED7C06">
      <w:rPr>
        <w:noProof/>
      </w:rPr>
      <mc:AlternateContent>
        <mc:Choice Requires="wps">
          <w:drawing>
            <wp:anchor distT="0" distB="0" distL="114300" distR="114300" simplePos="0" relativeHeight="251612672" behindDoc="0" locked="0" layoutInCell="1" allowOverlap="1" wp14:anchorId="6CC73AB2" wp14:editId="110EBF98">
              <wp:simplePos x="0" y="0"/>
              <wp:positionH relativeFrom="margin">
                <wp:posOffset>0</wp:posOffset>
              </wp:positionH>
              <wp:positionV relativeFrom="paragraph">
                <wp:posOffset>937338</wp:posOffset>
              </wp:positionV>
              <wp:extent cx="59601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601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35E0E" id="Straight Connector 9" o:spid="_x0000_s1026" style="position:absolute;z-index:251612672;visibility:visible;mso-wrap-style:square;mso-wrap-distance-left:9pt;mso-wrap-distance-top:0;mso-wrap-distance-right:9pt;mso-wrap-distance-bottom:0;mso-position-horizontal:absolute;mso-position-horizontal-relative:margin;mso-position-vertical:absolute;mso-position-vertical-relative:text" from="0,73.8pt" to="469.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" strokecolor="black [3200]" strokeweight="1.5pt">
              <v:stroke joinstyle="miter"/>
              <w10:wrap anchorx="margin"/>
            </v:line>
          </w:pict>
        </mc:Fallback>
      </mc:AlternateContent>
    </w:r>
    <w:r w:rsidR="00ED7C06">
      <w:rPr>
        <w:noProof/>
      </w:rPr>
      <mc:AlternateContent>
        <mc:Choice Requires="wps">
          <w:drawing>
            <wp:anchor distT="0" distB="0" distL="114300" distR="114300" simplePos="0" relativeHeight="251600384" behindDoc="0" locked="0" layoutInCell="1" allowOverlap="1" wp14:anchorId="2060FC31" wp14:editId="43B7B912">
              <wp:simplePos x="0" y="0"/>
              <wp:positionH relativeFrom="margin">
                <wp:posOffset>0</wp:posOffset>
              </wp:positionH>
              <wp:positionV relativeFrom="paragraph">
                <wp:posOffset>71833</wp:posOffset>
              </wp:positionV>
              <wp:extent cx="5941695" cy="85788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5941695" cy="857885"/>
                      </a:xfrm>
                      <a:prstGeom prst="rect">
                        <a:avLst/>
                      </a:prstGeom>
                      <a:solidFill>
                        <a:srgbClr val="CCFFFF"/>
                      </a:solidFill>
                      <a:ln w="6350">
                        <a:noFill/>
                      </a:ln>
                    </wps:spPr>
                    <wps:txbx>
                      <w:txbxContent>
                        <w:p w14:paraId="74DF6F8F" w14:textId="77777777" w:rsidR="00ED7C06" w:rsidRPr="00ED7C06" w:rsidRDefault="00ED7C06" w:rsidP="00ED7C06">
                          <w:pPr>
                            <w:pStyle w:val="NoSpacing"/>
                            <w:jc w:val="center"/>
                            <w:rPr>
                              <w:b/>
                              <w:bCs/>
                              <w:sz w:val="28"/>
                              <w:szCs w:val="24"/>
                            </w:rPr>
                          </w:pPr>
                          <w:r w:rsidRPr="00ED7C06">
                            <w:rPr>
                              <w:b/>
                              <w:bCs/>
                              <w:sz w:val="28"/>
                              <w:szCs w:val="24"/>
                            </w:rPr>
                            <w:t xml:space="preserve">Chelonian Conservation </w:t>
                          </w:r>
                          <w:proofErr w:type="gramStart"/>
                          <w:r w:rsidRPr="00ED7C06">
                            <w:rPr>
                              <w:b/>
                              <w:bCs/>
                              <w:sz w:val="28"/>
                              <w:szCs w:val="24"/>
                            </w:rPr>
                            <w:t>And</w:t>
                          </w:r>
                          <w:proofErr w:type="gramEnd"/>
                          <w:r w:rsidRPr="00ED7C06">
                            <w:rPr>
                              <w:b/>
                              <w:bCs/>
                              <w:sz w:val="28"/>
                              <w:szCs w:val="24"/>
                            </w:rPr>
                            <w:t xml:space="preserve"> Biology</w:t>
                          </w:r>
                        </w:p>
                        <w:p w14:paraId="3AC7B22B" w14:textId="77777777" w:rsidR="00ED7C06" w:rsidRDefault="00ED7C06" w:rsidP="00ED7C06">
                          <w:pPr>
                            <w:pStyle w:val="NoSpacing"/>
                            <w:jc w:val="center"/>
                            <w:rPr>
                              <w:sz w:val="18"/>
                              <w:szCs w:val="16"/>
                            </w:rPr>
                          </w:pPr>
                        </w:p>
                        <w:p w14:paraId="1A0AE0C8" w14:textId="0F321189" w:rsidR="00ED7C06" w:rsidRDefault="00ED7C06" w:rsidP="00ED7C06">
                          <w:pPr>
                            <w:pStyle w:val="NoSpacing"/>
                            <w:spacing w:line="360" w:lineRule="auto"/>
                            <w:jc w:val="center"/>
                            <w:rPr>
                              <w:rFonts w:ascii="Times New Roman" w:hAnsi="Times New Roman" w:cs="Times New Roman"/>
                              <w:b/>
                              <w:bCs/>
                              <w:sz w:val="18"/>
                              <w:szCs w:val="16"/>
                            </w:rPr>
                          </w:pPr>
                          <w:r w:rsidRPr="00ED7C06">
                            <w:rPr>
                              <w:rFonts w:ascii="Times New Roman" w:hAnsi="Times New Roman" w:cs="Times New Roman"/>
                              <w:b/>
                              <w:bCs/>
                              <w:sz w:val="18"/>
                              <w:szCs w:val="16"/>
                            </w:rPr>
                            <w:t>Vol. 1</w:t>
                          </w:r>
                          <w:r w:rsidR="00C155D4">
                            <w:rPr>
                              <w:rFonts w:ascii="Times New Roman" w:hAnsi="Times New Roman" w:cs="Times New Roman"/>
                              <w:b/>
                              <w:bCs/>
                              <w:sz w:val="18"/>
                              <w:szCs w:val="16"/>
                            </w:rPr>
                            <w:t>8</w:t>
                          </w:r>
                          <w:r w:rsidR="00D8001D">
                            <w:rPr>
                              <w:rFonts w:ascii="Times New Roman" w:hAnsi="Times New Roman" w:cs="Times New Roman"/>
                              <w:b/>
                              <w:bCs/>
                              <w:sz w:val="18"/>
                              <w:szCs w:val="16"/>
                            </w:rPr>
                            <w:t xml:space="preserve"> </w:t>
                          </w:r>
                          <w:r w:rsidRPr="00ED7C06">
                            <w:rPr>
                              <w:rFonts w:ascii="Times New Roman" w:hAnsi="Times New Roman" w:cs="Times New Roman"/>
                              <w:b/>
                              <w:bCs/>
                              <w:sz w:val="18"/>
                              <w:szCs w:val="16"/>
                            </w:rPr>
                            <w:t>No.</w:t>
                          </w:r>
                          <w:r w:rsidR="00D8001D">
                            <w:rPr>
                              <w:rFonts w:ascii="Times New Roman" w:hAnsi="Times New Roman" w:cs="Times New Roman"/>
                              <w:b/>
                              <w:bCs/>
                              <w:sz w:val="18"/>
                              <w:szCs w:val="16"/>
                            </w:rPr>
                            <w:t xml:space="preserve"> </w:t>
                          </w:r>
                          <w:r w:rsidR="00C1662C">
                            <w:rPr>
                              <w:rFonts w:ascii="Times New Roman" w:hAnsi="Times New Roman" w:cs="Times New Roman"/>
                              <w:b/>
                              <w:bCs/>
                              <w:sz w:val="18"/>
                              <w:szCs w:val="16"/>
                            </w:rPr>
                            <w:t>2</w:t>
                          </w:r>
                          <w:r w:rsidRPr="00ED7C06">
                            <w:rPr>
                              <w:rFonts w:ascii="Times New Roman" w:hAnsi="Times New Roman" w:cs="Times New Roman"/>
                              <w:b/>
                              <w:bCs/>
                              <w:sz w:val="18"/>
                              <w:szCs w:val="16"/>
                            </w:rPr>
                            <w:t xml:space="preserve"> (202</w:t>
                          </w:r>
                          <w:r w:rsidR="00C155D4">
                            <w:rPr>
                              <w:rFonts w:ascii="Times New Roman" w:hAnsi="Times New Roman" w:cs="Times New Roman"/>
                              <w:b/>
                              <w:bCs/>
                              <w:sz w:val="18"/>
                              <w:szCs w:val="16"/>
                            </w:rPr>
                            <w:t>3</w:t>
                          </w:r>
                          <w:r w:rsidRPr="00ED7C06">
                            <w:rPr>
                              <w:rFonts w:ascii="Times New Roman" w:hAnsi="Times New Roman" w:cs="Times New Roman"/>
                              <w:b/>
                              <w:bCs/>
                              <w:sz w:val="18"/>
                              <w:szCs w:val="16"/>
                            </w:rPr>
                            <w:t xml:space="preserve">) | </w:t>
                          </w:r>
                          <w:hyperlink r:id="rId2" w:history="1">
                            <w:r w:rsidRPr="007E7220">
                              <w:rPr>
                                <w:rStyle w:val="Hyperlink"/>
                                <w:rFonts w:ascii="Times New Roman" w:hAnsi="Times New Roman" w:cs="Times New Roman"/>
                                <w:b/>
                                <w:bCs/>
                                <w:sz w:val="18"/>
                                <w:szCs w:val="16"/>
                              </w:rPr>
                              <w:t>https://www.acgpublishing.com/</w:t>
                            </w:r>
                          </w:hyperlink>
                          <w:r w:rsidRPr="00ED7C06">
                            <w:rPr>
                              <w:rFonts w:ascii="Times New Roman" w:hAnsi="Times New Roman" w:cs="Times New Roman"/>
                              <w:b/>
                              <w:bCs/>
                              <w:sz w:val="18"/>
                              <w:szCs w:val="16"/>
                            </w:rPr>
                            <w:t xml:space="preserve"> | ISSN - 1071-8443</w:t>
                          </w:r>
                        </w:p>
                        <w:p w14:paraId="5F6236EF" w14:textId="4F4D7B29" w:rsidR="00C03F87" w:rsidRPr="00ED7C06" w:rsidRDefault="00ED7C06" w:rsidP="00766DB9">
                          <w:pPr>
                            <w:spacing w:line="360" w:lineRule="auto"/>
                            <w:ind w:left="353"/>
                            <w:jc w:val="center"/>
                            <w:rPr>
                              <w:rFonts w:ascii="Times New Roman" w:hAnsi="Times New Roman" w:cs="Times New Roman"/>
                              <w:b/>
                              <w:bCs/>
                              <w:sz w:val="18"/>
                              <w:szCs w:val="16"/>
                            </w:rPr>
                          </w:pPr>
                          <w:r w:rsidRPr="00ED7C06">
                            <w:rPr>
                              <w:b/>
                              <w:bCs/>
                              <w:sz w:val="15"/>
                            </w:rPr>
                            <w:t>DOI:</w:t>
                          </w:r>
                          <w:r w:rsidRPr="00ED7C06">
                            <w:rPr>
                              <w:b/>
                              <w:bCs/>
                              <w:spacing w:val="-8"/>
                              <w:sz w:val="15"/>
                            </w:rPr>
                            <w:t xml:space="preserve"> </w:t>
                          </w:r>
                          <w:r w:rsidR="00766DB9" w:rsidRPr="00D8001D">
                            <w:rPr>
                              <w:b/>
                              <w:bCs/>
                              <w:sz w:val="15"/>
                            </w:rPr>
                            <w:t>doi.org/10.18011/202</w:t>
                          </w:r>
                          <w:r w:rsidR="00C155D4">
                            <w:rPr>
                              <w:b/>
                              <w:bCs/>
                              <w:sz w:val="15"/>
                            </w:rPr>
                            <w:t>3</w:t>
                          </w:r>
                          <w:r w:rsidR="00766DB9" w:rsidRPr="00D8001D">
                            <w:rPr>
                              <w:b/>
                              <w:bCs/>
                              <w:sz w:val="15"/>
                            </w:rPr>
                            <w:t>.1</w:t>
                          </w:r>
                          <w:r w:rsidR="00F52BBF">
                            <w:rPr>
                              <w:b/>
                              <w:bCs/>
                              <w:sz w:val="15"/>
                            </w:rPr>
                            <w:t>1</w:t>
                          </w:r>
                          <w:r w:rsidR="00766DB9" w:rsidRPr="00D8001D">
                            <w:rPr>
                              <w:b/>
                              <w:bCs/>
                              <w:sz w:val="15"/>
                            </w:rPr>
                            <w:t>(</w:t>
                          </w:r>
                          <w:r w:rsidR="00C1662C">
                            <w:rPr>
                              <w:b/>
                              <w:bCs/>
                              <w:sz w:val="15"/>
                            </w:rPr>
                            <w:t>2</w:t>
                          </w:r>
                          <w:r w:rsidR="00766DB9" w:rsidRPr="00D8001D">
                            <w:rPr>
                              <w:b/>
                              <w:bCs/>
                              <w:sz w:val="15"/>
                            </w:rPr>
                            <w:t>).</w:t>
                          </w:r>
                          <w:r w:rsidR="0073697F">
                            <w:rPr>
                              <w:b/>
                              <w:bCs/>
                              <w:sz w:val="15"/>
                            </w:rPr>
                            <w:t>892.907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60FC31" id="_x0000_t202" coordsize="21600,21600" o:spt="202" path="m,l,21600r21600,l21600,xe">
              <v:stroke joinstyle="miter"/>
              <v:path gradientshapeok="t" o:connecttype="rect"/>
            </v:shapetype>
            <v:shape id="Text Box 7" o:spid="_x0000_s1028" type="#_x0000_t202" style="position:absolute;margin-left:0;margin-top:5.65pt;width:467.85pt;height:67.55pt;z-index:251600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" fillcolor="#cff" stroked="f" strokeweight=".5pt">
              <v:textbox>
                <w:txbxContent>
                  <w:p w14:paraId="74DF6F8F" w14:textId="77777777" w:rsidR="00ED7C06" w:rsidRPr="00ED7C06" w:rsidRDefault="00ED7C06" w:rsidP="00ED7C06">
                    <w:pPr>
                      <w:pStyle w:val="NoSpacing"/>
                      <w:jc w:val="center"/>
                      <w:rPr>
                        <w:b/>
                        <w:bCs/>
                        <w:sz w:val="28"/>
                        <w:szCs w:val="24"/>
                      </w:rPr>
                    </w:pPr>
                    <w:r w:rsidRPr="00ED7C06">
                      <w:rPr>
                        <w:b/>
                        <w:bCs/>
                        <w:sz w:val="28"/>
                        <w:szCs w:val="24"/>
                      </w:rPr>
                      <w:t xml:space="preserve">Chelonian Conservation </w:t>
                    </w:r>
                    <w:proofErr w:type="gramStart"/>
                    <w:r w:rsidRPr="00ED7C06">
                      <w:rPr>
                        <w:b/>
                        <w:bCs/>
                        <w:sz w:val="28"/>
                        <w:szCs w:val="24"/>
                      </w:rPr>
                      <w:t>And</w:t>
                    </w:r>
                    <w:proofErr w:type="gramEnd"/>
                    <w:r w:rsidRPr="00ED7C06">
                      <w:rPr>
                        <w:b/>
                        <w:bCs/>
                        <w:sz w:val="28"/>
                        <w:szCs w:val="24"/>
                      </w:rPr>
                      <w:t xml:space="preserve"> Biology</w:t>
                    </w:r>
                  </w:p>
                  <w:p w14:paraId="3AC7B22B" w14:textId="77777777" w:rsidR="00ED7C06" w:rsidRDefault="00ED7C06" w:rsidP="00ED7C06">
                    <w:pPr>
                      <w:pStyle w:val="NoSpacing"/>
                      <w:jc w:val="center"/>
                      <w:rPr>
                        <w:sz w:val="18"/>
                        <w:szCs w:val="16"/>
                      </w:rPr>
                    </w:pPr>
                  </w:p>
                  <w:p w14:paraId="1A0AE0C8" w14:textId="0F321189" w:rsidR="00ED7C06" w:rsidRDefault="00ED7C06" w:rsidP="00ED7C06">
                    <w:pPr>
                      <w:pStyle w:val="NoSpacing"/>
                      <w:spacing w:line="360" w:lineRule="auto"/>
                      <w:jc w:val="center"/>
                      <w:rPr>
                        <w:rFonts w:ascii="Times New Roman" w:hAnsi="Times New Roman" w:cs="Times New Roman"/>
                        <w:b/>
                        <w:bCs/>
                        <w:sz w:val="18"/>
                        <w:szCs w:val="16"/>
                      </w:rPr>
                    </w:pPr>
                    <w:r w:rsidRPr="00ED7C06">
                      <w:rPr>
                        <w:rFonts w:ascii="Times New Roman" w:hAnsi="Times New Roman" w:cs="Times New Roman"/>
                        <w:b/>
                        <w:bCs/>
                        <w:sz w:val="18"/>
                        <w:szCs w:val="16"/>
                      </w:rPr>
                      <w:t>Vol. 1</w:t>
                    </w:r>
                    <w:r w:rsidR="00C155D4">
                      <w:rPr>
                        <w:rFonts w:ascii="Times New Roman" w:hAnsi="Times New Roman" w:cs="Times New Roman"/>
                        <w:b/>
                        <w:bCs/>
                        <w:sz w:val="18"/>
                        <w:szCs w:val="16"/>
                      </w:rPr>
                      <w:t>8</w:t>
                    </w:r>
                    <w:r w:rsidR="00D8001D">
                      <w:rPr>
                        <w:rFonts w:ascii="Times New Roman" w:hAnsi="Times New Roman" w:cs="Times New Roman"/>
                        <w:b/>
                        <w:bCs/>
                        <w:sz w:val="18"/>
                        <w:szCs w:val="16"/>
                      </w:rPr>
                      <w:t xml:space="preserve"> </w:t>
                    </w:r>
                    <w:r w:rsidRPr="00ED7C06">
                      <w:rPr>
                        <w:rFonts w:ascii="Times New Roman" w:hAnsi="Times New Roman" w:cs="Times New Roman"/>
                        <w:b/>
                        <w:bCs/>
                        <w:sz w:val="18"/>
                        <w:szCs w:val="16"/>
                      </w:rPr>
                      <w:t>No.</w:t>
                    </w:r>
                    <w:r w:rsidR="00D8001D">
                      <w:rPr>
                        <w:rFonts w:ascii="Times New Roman" w:hAnsi="Times New Roman" w:cs="Times New Roman"/>
                        <w:b/>
                        <w:bCs/>
                        <w:sz w:val="18"/>
                        <w:szCs w:val="16"/>
                      </w:rPr>
                      <w:t xml:space="preserve"> </w:t>
                    </w:r>
                    <w:r w:rsidR="00C1662C">
                      <w:rPr>
                        <w:rFonts w:ascii="Times New Roman" w:hAnsi="Times New Roman" w:cs="Times New Roman"/>
                        <w:b/>
                        <w:bCs/>
                        <w:sz w:val="18"/>
                        <w:szCs w:val="16"/>
                      </w:rPr>
                      <w:t>2</w:t>
                    </w:r>
                    <w:r w:rsidRPr="00ED7C06">
                      <w:rPr>
                        <w:rFonts w:ascii="Times New Roman" w:hAnsi="Times New Roman" w:cs="Times New Roman"/>
                        <w:b/>
                        <w:bCs/>
                        <w:sz w:val="18"/>
                        <w:szCs w:val="16"/>
                      </w:rPr>
                      <w:t xml:space="preserve"> (202</w:t>
                    </w:r>
                    <w:r w:rsidR="00C155D4">
                      <w:rPr>
                        <w:rFonts w:ascii="Times New Roman" w:hAnsi="Times New Roman" w:cs="Times New Roman"/>
                        <w:b/>
                        <w:bCs/>
                        <w:sz w:val="18"/>
                        <w:szCs w:val="16"/>
                      </w:rPr>
                      <w:t>3</w:t>
                    </w:r>
                    <w:r w:rsidRPr="00ED7C06">
                      <w:rPr>
                        <w:rFonts w:ascii="Times New Roman" w:hAnsi="Times New Roman" w:cs="Times New Roman"/>
                        <w:b/>
                        <w:bCs/>
                        <w:sz w:val="18"/>
                        <w:szCs w:val="16"/>
                      </w:rPr>
                      <w:t xml:space="preserve">) | </w:t>
                    </w:r>
                    <w:hyperlink r:id="rId3" w:history="1">
                      <w:r w:rsidRPr="007E7220">
                        <w:rPr>
                          <w:rStyle w:val="Hyperlink"/>
                          <w:rFonts w:ascii="Times New Roman" w:hAnsi="Times New Roman" w:cs="Times New Roman"/>
                          <w:b/>
                          <w:bCs/>
                          <w:sz w:val="18"/>
                          <w:szCs w:val="16"/>
                        </w:rPr>
                        <w:t>https://www.acgpublishing.com/</w:t>
                      </w:r>
                    </w:hyperlink>
                    <w:r w:rsidRPr="00ED7C06">
                      <w:rPr>
                        <w:rFonts w:ascii="Times New Roman" w:hAnsi="Times New Roman" w:cs="Times New Roman"/>
                        <w:b/>
                        <w:bCs/>
                        <w:sz w:val="18"/>
                        <w:szCs w:val="16"/>
                      </w:rPr>
                      <w:t xml:space="preserve"> | ISSN - 1071-8443</w:t>
                    </w:r>
                  </w:p>
                  <w:p w14:paraId="5F6236EF" w14:textId="4F4D7B29" w:rsidR="00C03F87" w:rsidRPr="00ED7C06" w:rsidRDefault="00ED7C06" w:rsidP="00766DB9">
                    <w:pPr>
                      <w:spacing w:line="360" w:lineRule="auto"/>
                      <w:ind w:left="353"/>
                      <w:jc w:val="center"/>
                      <w:rPr>
                        <w:rFonts w:ascii="Times New Roman" w:hAnsi="Times New Roman" w:cs="Times New Roman"/>
                        <w:b/>
                        <w:bCs/>
                        <w:sz w:val="18"/>
                        <w:szCs w:val="16"/>
                      </w:rPr>
                    </w:pPr>
                    <w:r w:rsidRPr="00ED7C06">
                      <w:rPr>
                        <w:b/>
                        <w:bCs/>
                        <w:sz w:val="15"/>
                      </w:rPr>
                      <w:t>DOI:</w:t>
                    </w:r>
                    <w:r w:rsidRPr="00ED7C06">
                      <w:rPr>
                        <w:b/>
                        <w:bCs/>
                        <w:spacing w:val="-8"/>
                        <w:sz w:val="15"/>
                      </w:rPr>
                      <w:t xml:space="preserve"> </w:t>
                    </w:r>
                    <w:r w:rsidR="00766DB9" w:rsidRPr="00D8001D">
                      <w:rPr>
                        <w:b/>
                        <w:bCs/>
                        <w:sz w:val="15"/>
                      </w:rPr>
                      <w:t>doi.org/10.18011/202</w:t>
                    </w:r>
                    <w:r w:rsidR="00C155D4">
                      <w:rPr>
                        <w:b/>
                        <w:bCs/>
                        <w:sz w:val="15"/>
                      </w:rPr>
                      <w:t>3</w:t>
                    </w:r>
                    <w:r w:rsidR="00766DB9" w:rsidRPr="00D8001D">
                      <w:rPr>
                        <w:b/>
                        <w:bCs/>
                        <w:sz w:val="15"/>
                      </w:rPr>
                      <w:t>.1</w:t>
                    </w:r>
                    <w:r w:rsidR="00F52BBF">
                      <w:rPr>
                        <w:b/>
                        <w:bCs/>
                        <w:sz w:val="15"/>
                      </w:rPr>
                      <w:t>1</w:t>
                    </w:r>
                    <w:r w:rsidR="00766DB9" w:rsidRPr="00D8001D">
                      <w:rPr>
                        <w:b/>
                        <w:bCs/>
                        <w:sz w:val="15"/>
                      </w:rPr>
                      <w:t>(</w:t>
                    </w:r>
                    <w:r w:rsidR="00C1662C">
                      <w:rPr>
                        <w:b/>
                        <w:bCs/>
                        <w:sz w:val="15"/>
                      </w:rPr>
                      <w:t>2</w:t>
                    </w:r>
                    <w:r w:rsidR="00766DB9" w:rsidRPr="00D8001D">
                      <w:rPr>
                        <w:b/>
                        <w:bCs/>
                        <w:sz w:val="15"/>
                      </w:rPr>
                      <w:t>).</w:t>
                    </w:r>
                    <w:r w:rsidR="0073697F">
                      <w:rPr>
                        <w:b/>
                        <w:bCs/>
                        <w:sz w:val="15"/>
                      </w:rPr>
                      <w:t>892.907</w:t>
                    </w:r>
                  </w:p>
                </w:txbxContent>
              </v:textbox>
              <w10:wrap anchorx="margin"/>
            </v:shape>
          </w:pict>
        </mc:Fallback>
      </mc:AlternateContent>
    </w:r>
    <w:r w:rsidR="00ED7C06">
      <w:rPr>
        <w:noProof/>
      </w:rPr>
      <mc:AlternateContent>
        <mc:Choice Requires="wps">
          <w:drawing>
            <wp:anchor distT="0" distB="0" distL="114300" distR="114300" simplePos="0" relativeHeight="251608576" behindDoc="0" locked="0" layoutInCell="1" allowOverlap="1" wp14:anchorId="7A43B623" wp14:editId="12AF4B50">
              <wp:simplePos x="0" y="0"/>
              <wp:positionH relativeFrom="column">
                <wp:posOffset>-7465</wp:posOffset>
              </wp:positionH>
              <wp:positionV relativeFrom="paragraph">
                <wp:posOffset>58005</wp:posOffset>
              </wp:positionV>
              <wp:extent cx="59603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6039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0B4A3" id="Straight Connector 8"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6pt,4.55pt" to="46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" strokecolor="black [3200]" strokeweight="1.5pt">
              <v:stroke joinstyle="miter"/>
            </v:line>
          </w:pict>
        </mc:Fallback>
      </mc:AlternateContent>
    </w:r>
  </w:p>
  <w:p w14:paraId="60BC1763" w14:textId="579E75B7" w:rsidR="0003311F" w:rsidRDefault="00BE0B98" w:rsidP="00ED7C06">
    <w:pPr>
      <w:pStyle w:val="Header"/>
    </w:pPr>
    <w:r>
      <w:rPr>
        <w:noProof/>
      </w:rPr>
      <w:drawing>
        <wp:anchor distT="0" distB="0" distL="114300" distR="114300" simplePos="0" relativeHeight="251733504" behindDoc="0" locked="0" layoutInCell="1" allowOverlap="1" wp14:anchorId="1496E1CD" wp14:editId="7B0AA10D">
          <wp:simplePos x="0" y="0"/>
          <wp:positionH relativeFrom="margin">
            <wp:posOffset>161925</wp:posOffset>
          </wp:positionH>
          <wp:positionV relativeFrom="paragraph">
            <wp:posOffset>57125</wp:posOffset>
          </wp:positionV>
          <wp:extent cx="589594" cy="581732"/>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89594" cy="581732"/>
                  </a:xfrm>
                  <a:prstGeom prst="rect">
                    <a:avLst/>
                  </a:prstGeom>
                </pic:spPr>
              </pic:pic>
            </a:graphicData>
          </a:graphic>
          <wp14:sizeRelH relativeFrom="margin">
            <wp14:pctWidth>0</wp14:pctWidth>
          </wp14:sizeRelH>
          <wp14:sizeRelV relativeFrom="margin">
            <wp14:pctHeight>0</wp14:pctHeight>
          </wp14:sizeRelV>
        </wp:anchor>
      </w:drawing>
    </w:r>
  </w:p>
  <w:p w14:paraId="09D792C5" w14:textId="792917F4" w:rsidR="0003311F" w:rsidRDefault="0003311F" w:rsidP="00ED7C06">
    <w:pPr>
      <w:pStyle w:val="Header"/>
    </w:pPr>
  </w:p>
  <w:p w14:paraId="0E11C139" w14:textId="0DF91F85" w:rsidR="0003311F" w:rsidRDefault="0003311F" w:rsidP="00ED7C06">
    <w:pPr>
      <w:pStyle w:val="Header"/>
    </w:pPr>
  </w:p>
  <w:p w14:paraId="3E5EB7E7" w14:textId="5FC39A0B" w:rsidR="0003311F" w:rsidRDefault="0003311F" w:rsidP="00ED7C06">
    <w:pPr>
      <w:pStyle w:val="Header"/>
    </w:pPr>
  </w:p>
  <w:p w14:paraId="2E5E253C" w14:textId="707BC76C" w:rsidR="00ED7C06" w:rsidRDefault="00ED7C06" w:rsidP="00ED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3CF6"/>
    <w:multiLevelType w:val="hybridMultilevel"/>
    <w:tmpl w:val="B02E8362"/>
    <w:lvl w:ilvl="0" w:tplc="5E3A5F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7178DA"/>
    <w:multiLevelType w:val="hybridMultilevel"/>
    <w:tmpl w:val="10FC0B42"/>
    <w:lvl w:ilvl="0" w:tplc="22D0D936">
      <w:start w:val="1"/>
      <w:numFmt w:val="upp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6969C3"/>
    <w:multiLevelType w:val="hybridMultilevel"/>
    <w:tmpl w:val="6608C636"/>
    <w:lvl w:ilvl="0" w:tplc="C390DE20">
      <w:start w:val="1"/>
      <w:numFmt w:val="bullet"/>
      <w:lvlText w:val=""/>
      <w:lvlJc w:val="left"/>
      <w:pPr>
        <w:tabs>
          <w:tab w:val="num" w:pos="720"/>
        </w:tabs>
        <w:ind w:left="720" w:hanging="360"/>
      </w:pPr>
      <w:rPr>
        <w:rFonts w:ascii="Wingdings" w:hAnsi="Wingdings" w:hint="default"/>
      </w:rPr>
    </w:lvl>
    <w:lvl w:ilvl="1" w:tplc="FF388EC4" w:tentative="1">
      <w:start w:val="1"/>
      <w:numFmt w:val="bullet"/>
      <w:lvlText w:val=""/>
      <w:lvlJc w:val="left"/>
      <w:pPr>
        <w:tabs>
          <w:tab w:val="num" w:pos="1440"/>
        </w:tabs>
        <w:ind w:left="1440" w:hanging="360"/>
      </w:pPr>
      <w:rPr>
        <w:rFonts w:ascii="Wingdings" w:hAnsi="Wingdings" w:hint="default"/>
      </w:rPr>
    </w:lvl>
    <w:lvl w:ilvl="2" w:tplc="5A4685D8" w:tentative="1">
      <w:start w:val="1"/>
      <w:numFmt w:val="bullet"/>
      <w:lvlText w:val=""/>
      <w:lvlJc w:val="left"/>
      <w:pPr>
        <w:tabs>
          <w:tab w:val="num" w:pos="2160"/>
        </w:tabs>
        <w:ind w:left="2160" w:hanging="360"/>
      </w:pPr>
      <w:rPr>
        <w:rFonts w:ascii="Wingdings" w:hAnsi="Wingdings" w:hint="default"/>
      </w:rPr>
    </w:lvl>
    <w:lvl w:ilvl="3" w:tplc="54F6F88A" w:tentative="1">
      <w:start w:val="1"/>
      <w:numFmt w:val="bullet"/>
      <w:lvlText w:val=""/>
      <w:lvlJc w:val="left"/>
      <w:pPr>
        <w:tabs>
          <w:tab w:val="num" w:pos="2880"/>
        </w:tabs>
        <w:ind w:left="2880" w:hanging="360"/>
      </w:pPr>
      <w:rPr>
        <w:rFonts w:ascii="Wingdings" w:hAnsi="Wingdings" w:hint="default"/>
      </w:rPr>
    </w:lvl>
    <w:lvl w:ilvl="4" w:tplc="575E1CA4" w:tentative="1">
      <w:start w:val="1"/>
      <w:numFmt w:val="bullet"/>
      <w:lvlText w:val=""/>
      <w:lvlJc w:val="left"/>
      <w:pPr>
        <w:tabs>
          <w:tab w:val="num" w:pos="3600"/>
        </w:tabs>
        <w:ind w:left="3600" w:hanging="360"/>
      </w:pPr>
      <w:rPr>
        <w:rFonts w:ascii="Wingdings" w:hAnsi="Wingdings" w:hint="default"/>
      </w:rPr>
    </w:lvl>
    <w:lvl w:ilvl="5" w:tplc="166A4A5A" w:tentative="1">
      <w:start w:val="1"/>
      <w:numFmt w:val="bullet"/>
      <w:lvlText w:val=""/>
      <w:lvlJc w:val="left"/>
      <w:pPr>
        <w:tabs>
          <w:tab w:val="num" w:pos="4320"/>
        </w:tabs>
        <w:ind w:left="4320" w:hanging="360"/>
      </w:pPr>
      <w:rPr>
        <w:rFonts w:ascii="Wingdings" w:hAnsi="Wingdings" w:hint="default"/>
      </w:rPr>
    </w:lvl>
    <w:lvl w:ilvl="6" w:tplc="B3BE34AE" w:tentative="1">
      <w:start w:val="1"/>
      <w:numFmt w:val="bullet"/>
      <w:lvlText w:val=""/>
      <w:lvlJc w:val="left"/>
      <w:pPr>
        <w:tabs>
          <w:tab w:val="num" w:pos="5040"/>
        </w:tabs>
        <w:ind w:left="5040" w:hanging="360"/>
      </w:pPr>
      <w:rPr>
        <w:rFonts w:ascii="Wingdings" w:hAnsi="Wingdings" w:hint="default"/>
      </w:rPr>
    </w:lvl>
    <w:lvl w:ilvl="7" w:tplc="64D0EC9A" w:tentative="1">
      <w:start w:val="1"/>
      <w:numFmt w:val="bullet"/>
      <w:lvlText w:val=""/>
      <w:lvlJc w:val="left"/>
      <w:pPr>
        <w:tabs>
          <w:tab w:val="num" w:pos="5760"/>
        </w:tabs>
        <w:ind w:left="5760" w:hanging="360"/>
      </w:pPr>
      <w:rPr>
        <w:rFonts w:ascii="Wingdings" w:hAnsi="Wingdings" w:hint="default"/>
      </w:rPr>
    </w:lvl>
    <w:lvl w:ilvl="8" w:tplc="685617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509FB"/>
    <w:multiLevelType w:val="hybridMultilevel"/>
    <w:tmpl w:val="12BE7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43B2EFA"/>
    <w:multiLevelType w:val="hybridMultilevel"/>
    <w:tmpl w:val="BA5E2F8A"/>
    <w:lvl w:ilvl="0" w:tplc="40A8F9EE">
      <w:start w:val="1"/>
      <w:numFmt w:val="decimal"/>
      <w:lvlText w:val="%1."/>
      <w:lvlJc w:val="left"/>
      <w:pPr>
        <w:ind w:left="720" w:hanging="36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0752D4"/>
    <w:multiLevelType w:val="hybridMultilevel"/>
    <w:tmpl w:val="98547A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1756F23"/>
    <w:multiLevelType w:val="hybridMultilevel"/>
    <w:tmpl w:val="FDDA433C"/>
    <w:lvl w:ilvl="0" w:tplc="B0D2D4B0">
      <w:start w:val="1"/>
      <w:numFmt w:val="decimal"/>
      <w:lvlText w:val="%1."/>
      <w:lvlJc w:val="left"/>
      <w:pPr>
        <w:ind w:left="1004" w:hanging="360"/>
      </w:pPr>
      <w:rPr>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34A1BEA"/>
    <w:multiLevelType w:val="hybridMultilevel"/>
    <w:tmpl w:val="25883914"/>
    <w:lvl w:ilvl="0" w:tplc="339AFD58">
      <w:start w:val="1"/>
      <w:numFmt w:val="bullet"/>
      <w:lvlText w:val=""/>
      <w:lvlJc w:val="left"/>
      <w:pPr>
        <w:tabs>
          <w:tab w:val="num" w:pos="720"/>
        </w:tabs>
        <w:ind w:left="720" w:hanging="360"/>
      </w:pPr>
      <w:rPr>
        <w:rFonts w:ascii="Wingdings" w:hAnsi="Wingdings" w:hint="default"/>
      </w:rPr>
    </w:lvl>
    <w:lvl w:ilvl="1" w:tplc="B9688378" w:tentative="1">
      <w:start w:val="1"/>
      <w:numFmt w:val="bullet"/>
      <w:lvlText w:val=""/>
      <w:lvlJc w:val="left"/>
      <w:pPr>
        <w:tabs>
          <w:tab w:val="num" w:pos="1440"/>
        </w:tabs>
        <w:ind w:left="1440" w:hanging="360"/>
      </w:pPr>
      <w:rPr>
        <w:rFonts w:ascii="Wingdings" w:hAnsi="Wingdings" w:hint="default"/>
      </w:rPr>
    </w:lvl>
    <w:lvl w:ilvl="2" w:tplc="212AD394" w:tentative="1">
      <w:start w:val="1"/>
      <w:numFmt w:val="bullet"/>
      <w:lvlText w:val=""/>
      <w:lvlJc w:val="left"/>
      <w:pPr>
        <w:tabs>
          <w:tab w:val="num" w:pos="2160"/>
        </w:tabs>
        <w:ind w:left="2160" w:hanging="360"/>
      </w:pPr>
      <w:rPr>
        <w:rFonts w:ascii="Wingdings" w:hAnsi="Wingdings" w:hint="default"/>
      </w:rPr>
    </w:lvl>
    <w:lvl w:ilvl="3" w:tplc="896EB8F2" w:tentative="1">
      <w:start w:val="1"/>
      <w:numFmt w:val="bullet"/>
      <w:lvlText w:val=""/>
      <w:lvlJc w:val="left"/>
      <w:pPr>
        <w:tabs>
          <w:tab w:val="num" w:pos="2880"/>
        </w:tabs>
        <w:ind w:left="2880" w:hanging="360"/>
      </w:pPr>
      <w:rPr>
        <w:rFonts w:ascii="Wingdings" w:hAnsi="Wingdings" w:hint="default"/>
      </w:rPr>
    </w:lvl>
    <w:lvl w:ilvl="4" w:tplc="95A672B2" w:tentative="1">
      <w:start w:val="1"/>
      <w:numFmt w:val="bullet"/>
      <w:lvlText w:val=""/>
      <w:lvlJc w:val="left"/>
      <w:pPr>
        <w:tabs>
          <w:tab w:val="num" w:pos="3600"/>
        </w:tabs>
        <w:ind w:left="3600" w:hanging="360"/>
      </w:pPr>
      <w:rPr>
        <w:rFonts w:ascii="Wingdings" w:hAnsi="Wingdings" w:hint="default"/>
      </w:rPr>
    </w:lvl>
    <w:lvl w:ilvl="5" w:tplc="969C6AF0" w:tentative="1">
      <w:start w:val="1"/>
      <w:numFmt w:val="bullet"/>
      <w:lvlText w:val=""/>
      <w:lvlJc w:val="left"/>
      <w:pPr>
        <w:tabs>
          <w:tab w:val="num" w:pos="4320"/>
        </w:tabs>
        <w:ind w:left="4320" w:hanging="360"/>
      </w:pPr>
      <w:rPr>
        <w:rFonts w:ascii="Wingdings" w:hAnsi="Wingdings" w:hint="default"/>
      </w:rPr>
    </w:lvl>
    <w:lvl w:ilvl="6" w:tplc="F788C474" w:tentative="1">
      <w:start w:val="1"/>
      <w:numFmt w:val="bullet"/>
      <w:lvlText w:val=""/>
      <w:lvlJc w:val="left"/>
      <w:pPr>
        <w:tabs>
          <w:tab w:val="num" w:pos="5040"/>
        </w:tabs>
        <w:ind w:left="5040" w:hanging="360"/>
      </w:pPr>
      <w:rPr>
        <w:rFonts w:ascii="Wingdings" w:hAnsi="Wingdings" w:hint="default"/>
      </w:rPr>
    </w:lvl>
    <w:lvl w:ilvl="7" w:tplc="10F86402" w:tentative="1">
      <w:start w:val="1"/>
      <w:numFmt w:val="bullet"/>
      <w:lvlText w:val=""/>
      <w:lvlJc w:val="left"/>
      <w:pPr>
        <w:tabs>
          <w:tab w:val="num" w:pos="5760"/>
        </w:tabs>
        <w:ind w:left="5760" w:hanging="360"/>
      </w:pPr>
      <w:rPr>
        <w:rFonts w:ascii="Wingdings" w:hAnsi="Wingdings" w:hint="default"/>
      </w:rPr>
    </w:lvl>
    <w:lvl w:ilvl="8" w:tplc="062039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06"/>
    <w:rsid w:val="000078A1"/>
    <w:rsid w:val="00012879"/>
    <w:rsid w:val="0003311F"/>
    <w:rsid w:val="00040C6C"/>
    <w:rsid w:val="000A2CCB"/>
    <w:rsid w:val="000D13EF"/>
    <w:rsid w:val="000E03E4"/>
    <w:rsid w:val="000E4293"/>
    <w:rsid w:val="00114ED2"/>
    <w:rsid w:val="00151D91"/>
    <w:rsid w:val="0017191E"/>
    <w:rsid w:val="001954A5"/>
    <w:rsid w:val="001B0B5E"/>
    <w:rsid w:val="001C6CBD"/>
    <w:rsid w:val="001C71EE"/>
    <w:rsid w:val="00205204"/>
    <w:rsid w:val="00243EB7"/>
    <w:rsid w:val="00256710"/>
    <w:rsid w:val="002854A1"/>
    <w:rsid w:val="002B326B"/>
    <w:rsid w:val="002B5865"/>
    <w:rsid w:val="002C49A8"/>
    <w:rsid w:val="002D5B86"/>
    <w:rsid w:val="002D71E7"/>
    <w:rsid w:val="00324329"/>
    <w:rsid w:val="00330585"/>
    <w:rsid w:val="003551A6"/>
    <w:rsid w:val="00364782"/>
    <w:rsid w:val="00370E6D"/>
    <w:rsid w:val="00381C14"/>
    <w:rsid w:val="003B3D36"/>
    <w:rsid w:val="003D170E"/>
    <w:rsid w:val="003E4068"/>
    <w:rsid w:val="003E41D6"/>
    <w:rsid w:val="003F52F9"/>
    <w:rsid w:val="0041578B"/>
    <w:rsid w:val="00494BA3"/>
    <w:rsid w:val="004A4B03"/>
    <w:rsid w:val="004C0719"/>
    <w:rsid w:val="00521170"/>
    <w:rsid w:val="00551CB4"/>
    <w:rsid w:val="00565BBE"/>
    <w:rsid w:val="00581599"/>
    <w:rsid w:val="00595B3D"/>
    <w:rsid w:val="005B084A"/>
    <w:rsid w:val="005D754B"/>
    <w:rsid w:val="00613A4E"/>
    <w:rsid w:val="00650BFA"/>
    <w:rsid w:val="00666083"/>
    <w:rsid w:val="006E231E"/>
    <w:rsid w:val="006E27D3"/>
    <w:rsid w:val="00701826"/>
    <w:rsid w:val="0070499B"/>
    <w:rsid w:val="00717AFE"/>
    <w:rsid w:val="0073107C"/>
    <w:rsid w:val="0073697F"/>
    <w:rsid w:val="007374F7"/>
    <w:rsid w:val="00766DB9"/>
    <w:rsid w:val="0079571D"/>
    <w:rsid w:val="007A1AF2"/>
    <w:rsid w:val="007C095D"/>
    <w:rsid w:val="007C29D0"/>
    <w:rsid w:val="007D0F54"/>
    <w:rsid w:val="007E7220"/>
    <w:rsid w:val="007F15A0"/>
    <w:rsid w:val="00804664"/>
    <w:rsid w:val="0081715A"/>
    <w:rsid w:val="00822F72"/>
    <w:rsid w:val="00835FFA"/>
    <w:rsid w:val="00845E61"/>
    <w:rsid w:val="0085486E"/>
    <w:rsid w:val="008A1E96"/>
    <w:rsid w:val="008B2F16"/>
    <w:rsid w:val="008C237E"/>
    <w:rsid w:val="008C6650"/>
    <w:rsid w:val="008E3952"/>
    <w:rsid w:val="00901123"/>
    <w:rsid w:val="0096710C"/>
    <w:rsid w:val="00970A87"/>
    <w:rsid w:val="00A070C0"/>
    <w:rsid w:val="00A11CDE"/>
    <w:rsid w:val="00A60EE5"/>
    <w:rsid w:val="00A640A3"/>
    <w:rsid w:val="00A70145"/>
    <w:rsid w:val="00AF4A1C"/>
    <w:rsid w:val="00AF6AB2"/>
    <w:rsid w:val="00B04608"/>
    <w:rsid w:val="00B33018"/>
    <w:rsid w:val="00B430E0"/>
    <w:rsid w:val="00B61288"/>
    <w:rsid w:val="00B70611"/>
    <w:rsid w:val="00B70A83"/>
    <w:rsid w:val="00B9177B"/>
    <w:rsid w:val="00BB2D52"/>
    <w:rsid w:val="00BE0B98"/>
    <w:rsid w:val="00BF44BE"/>
    <w:rsid w:val="00C03F87"/>
    <w:rsid w:val="00C061A0"/>
    <w:rsid w:val="00C155D4"/>
    <w:rsid w:val="00C1662C"/>
    <w:rsid w:val="00C60764"/>
    <w:rsid w:val="00C63D3F"/>
    <w:rsid w:val="00C74B92"/>
    <w:rsid w:val="00C75BCC"/>
    <w:rsid w:val="00C92D19"/>
    <w:rsid w:val="00C94785"/>
    <w:rsid w:val="00CC7EB5"/>
    <w:rsid w:val="00CD66A9"/>
    <w:rsid w:val="00D211C0"/>
    <w:rsid w:val="00D21319"/>
    <w:rsid w:val="00D33233"/>
    <w:rsid w:val="00D8001D"/>
    <w:rsid w:val="00DF0EE6"/>
    <w:rsid w:val="00DF26E4"/>
    <w:rsid w:val="00DF38EF"/>
    <w:rsid w:val="00DF40A7"/>
    <w:rsid w:val="00DF6E5E"/>
    <w:rsid w:val="00E0690A"/>
    <w:rsid w:val="00E369E4"/>
    <w:rsid w:val="00EA2AC7"/>
    <w:rsid w:val="00EC358A"/>
    <w:rsid w:val="00EC4E3D"/>
    <w:rsid w:val="00ED2012"/>
    <w:rsid w:val="00ED7C06"/>
    <w:rsid w:val="00EF150E"/>
    <w:rsid w:val="00F0576B"/>
    <w:rsid w:val="00F22181"/>
    <w:rsid w:val="00F235FD"/>
    <w:rsid w:val="00F334ED"/>
    <w:rsid w:val="00F35764"/>
    <w:rsid w:val="00F52BBF"/>
    <w:rsid w:val="00F56D5F"/>
    <w:rsid w:val="00F64DD9"/>
    <w:rsid w:val="00F777D8"/>
    <w:rsid w:val="00F96DA3"/>
    <w:rsid w:val="00FC6F56"/>
    <w:rsid w:val="00FF0E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0A41"/>
  <w15:chartTrackingRefBased/>
  <w15:docId w15:val="{B9A15FB9-335C-4701-A1A6-9A5588B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ED"/>
    <w:pPr>
      <w:spacing w:after="200" w:line="276" w:lineRule="auto"/>
    </w:pPr>
    <w:rPr>
      <w:szCs w:val="22"/>
      <w:lang w:bidi="ar-SA"/>
    </w:rPr>
  </w:style>
  <w:style w:type="paragraph" w:styleId="Heading1">
    <w:name w:val="heading 1"/>
    <w:basedOn w:val="Normal"/>
    <w:next w:val="Normal"/>
    <w:link w:val="Heading1Char"/>
    <w:uiPriority w:val="1"/>
    <w:qFormat/>
    <w:rsid w:val="008046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67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50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71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6CBD"/>
    <w:pPr>
      <w:keepNext/>
      <w:keepLines/>
      <w:spacing w:before="40" w:after="0" w:line="259" w:lineRule="auto"/>
      <w:ind w:left="1008" w:hanging="1008"/>
      <w:jc w:val="both"/>
      <w:outlineLvl w:val="4"/>
    </w:pPr>
    <w:rPr>
      <w:rFonts w:asciiTheme="majorHAnsi" w:eastAsiaTheme="majorEastAsia" w:hAnsiTheme="majorHAnsi" w:cstheme="majorBidi"/>
      <w:color w:val="2F5496" w:themeColor="accent1" w:themeShade="BF"/>
      <w:kern w:val="2"/>
      <w:sz w:val="24"/>
      <w:szCs w:val="24"/>
      <w14:ligatures w14:val="standardContextual"/>
    </w:rPr>
  </w:style>
  <w:style w:type="paragraph" w:styleId="Heading6">
    <w:name w:val="heading 6"/>
    <w:basedOn w:val="Normal"/>
    <w:next w:val="Normal"/>
    <w:link w:val="Heading6Char"/>
    <w:semiHidden/>
    <w:unhideWhenUsed/>
    <w:qFormat/>
    <w:rsid w:val="001C6CBD"/>
    <w:pPr>
      <w:keepNext/>
      <w:keepLines/>
      <w:spacing w:before="40" w:after="0" w:line="259" w:lineRule="auto"/>
      <w:ind w:left="1152" w:hanging="1152"/>
      <w:jc w:val="both"/>
      <w:outlineLvl w:val="5"/>
    </w:pPr>
    <w:rPr>
      <w:rFonts w:asciiTheme="majorHAnsi" w:eastAsiaTheme="majorEastAsia" w:hAnsiTheme="majorHAnsi" w:cstheme="majorBidi"/>
      <w:color w:val="1F3763" w:themeColor="accent1" w:themeShade="7F"/>
      <w:kern w:val="2"/>
      <w:sz w:val="24"/>
      <w:szCs w:val="24"/>
      <w14:ligatures w14:val="standardContextual"/>
    </w:rPr>
  </w:style>
  <w:style w:type="paragraph" w:styleId="Heading7">
    <w:name w:val="heading 7"/>
    <w:basedOn w:val="Normal"/>
    <w:next w:val="Normal"/>
    <w:link w:val="Heading7Char"/>
    <w:semiHidden/>
    <w:unhideWhenUsed/>
    <w:qFormat/>
    <w:rsid w:val="001C6CBD"/>
    <w:pPr>
      <w:keepNext/>
      <w:keepLines/>
      <w:spacing w:before="40" w:after="0" w:line="259" w:lineRule="auto"/>
      <w:ind w:left="1296" w:hanging="1296"/>
      <w:jc w:val="both"/>
      <w:outlineLvl w:val="6"/>
    </w:pPr>
    <w:rPr>
      <w:rFonts w:asciiTheme="majorHAnsi" w:eastAsiaTheme="majorEastAsia" w:hAnsiTheme="majorHAnsi" w:cstheme="majorBidi"/>
      <w:i/>
      <w:iCs/>
      <w:color w:val="1F3763" w:themeColor="accent1" w:themeShade="7F"/>
      <w:kern w:val="2"/>
      <w:sz w:val="24"/>
      <w:szCs w:val="24"/>
      <w14:ligatures w14:val="standardContextual"/>
    </w:rPr>
  </w:style>
  <w:style w:type="paragraph" w:styleId="Heading8">
    <w:name w:val="heading 8"/>
    <w:basedOn w:val="Normal"/>
    <w:next w:val="Normal"/>
    <w:link w:val="Heading8Char"/>
    <w:unhideWhenUsed/>
    <w:qFormat/>
    <w:rsid w:val="001C6CBD"/>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Heading9">
    <w:name w:val="heading 9"/>
    <w:basedOn w:val="Normal"/>
    <w:next w:val="Normal"/>
    <w:link w:val="Heading9Char"/>
    <w:semiHidden/>
    <w:unhideWhenUsed/>
    <w:qFormat/>
    <w:rsid w:val="001C6CBD"/>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06"/>
    <w:rPr>
      <w:rFonts w:cs="Mangal"/>
    </w:rPr>
  </w:style>
  <w:style w:type="paragraph" w:styleId="Footer">
    <w:name w:val="footer"/>
    <w:basedOn w:val="Normal"/>
    <w:link w:val="FooterChar"/>
    <w:uiPriority w:val="99"/>
    <w:unhideWhenUsed/>
    <w:rsid w:val="00ED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06"/>
    <w:rPr>
      <w:rFonts w:cs="Mangal"/>
    </w:rPr>
  </w:style>
  <w:style w:type="paragraph" w:styleId="NoSpacing">
    <w:name w:val="No Spacing"/>
    <w:link w:val="NoSpacingChar"/>
    <w:uiPriority w:val="1"/>
    <w:qFormat/>
    <w:rsid w:val="00ED7C06"/>
    <w:pPr>
      <w:spacing w:after="0" w:line="240" w:lineRule="auto"/>
    </w:pPr>
    <w:rPr>
      <w:rFonts w:cs="Mangal"/>
    </w:rPr>
  </w:style>
  <w:style w:type="character" w:styleId="Hyperlink">
    <w:name w:val="Hyperlink"/>
    <w:basedOn w:val="DefaultParagraphFont"/>
    <w:uiPriority w:val="99"/>
    <w:unhideWhenUsed/>
    <w:qFormat/>
    <w:rsid w:val="00ED7C06"/>
    <w:rPr>
      <w:color w:val="0563C1" w:themeColor="hyperlink"/>
      <w:u w:val="single"/>
    </w:rPr>
  </w:style>
  <w:style w:type="character" w:styleId="UnresolvedMention">
    <w:name w:val="Unresolved Mention"/>
    <w:basedOn w:val="DefaultParagraphFont"/>
    <w:uiPriority w:val="99"/>
    <w:semiHidden/>
    <w:unhideWhenUsed/>
    <w:rsid w:val="00ED7C06"/>
    <w:rPr>
      <w:color w:val="605E5C"/>
      <w:shd w:val="clear" w:color="auto" w:fill="E1DFDD"/>
    </w:rPr>
  </w:style>
  <w:style w:type="paragraph" w:styleId="BodyText">
    <w:name w:val="Body Text"/>
    <w:basedOn w:val="Normal"/>
    <w:link w:val="BodyTextChar"/>
    <w:uiPriority w:val="1"/>
    <w:qFormat/>
    <w:rsid w:val="00F35764"/>
    <w:pPr>
      <w:widowControl w:val="0"/>
      <w:autoSpaceDE w:val="0"/>
      <w:autoSpaceDN w:val="0"/>
      <w:spacing w:after="0" w:line="240" w:lineRule="auto"/>
    </w:pPr>
    <w:rPr>
      <w:rFonts w:ascii="Times New Roman" w:eastAsia="Times New Roman" w:hAnsi="Times New Roman" w:cs="Times New Roman"/>
      <w:sz w:val="17"/>
      <w:szCs w:val="17"/>
    </w:rPr>
  </w:style>
  <w:style w:type="character" w:customStyle="1" w:styleId="BodyTextChar">
    <w:name w:val="Body Text Char"/>
    <w:basedOn w:val="DefaultParagraphFont"/>
    <w:link w:val="BodyText"/>
    <w:uiPriority w:val="1"/>
    <w:rsid w:val="00F35764"/>
    <w:rPr>
      <w:rFonts w:ascii="Times New Roman" w:eastAsia="Times New Roman" w:hAnsi="Times New Roman" w:cs="Times New Roman"/>
      <w:sz w:val="17"/>
      <w:szCs w:val="17"/>
      <w:lang w:bidi="ar-SA"/>
    </w:rPr>
  </w:style>
  <w:style w:type="paragraph" w:styleId="ListParagraph">
    <w:name w:val="List Paragraph"/>
    <w:aliases w:val="PARAGRAPH"/>
    <w:basedOn w:val="Normal"/>
    <w:link w:val="ListParagraphChar"/>
    <w:uiPriority w:val="34"/>
    <w:qFormat/>
    <w:rsid w:val="00F35764"/>
    <w:pPr>
      <w:ind w:left="720"/>
      <w:contextualSpacing/>
    </w:pPr>
    <w:rPr>
      <w:lang w:val="en-IN"/>
    </w:rPr>
  </w:style>
  <w:style w:type="character" w:customStyle="1" w:styleId="Heading1Char">
    <w:name w:val="Heading 1 Char"/>
    <w:basedOn w:val="DefaultParagraphFont"/>
    <w:link w:val="Heading1"/>
    <w:uiPriority w:val="1"/>
    <w:rsid w:val="00804664"/>
    <w:rPr>
      <w:rFonts w:asciiTheme="majorHAnsi" w:eastAsiaTheme="majorEastAsia" w:hAnsiTheme="majorHAnsi" w:cstheme="majorBidi"/>
      <w:b/>
      <w:bCs/>
      <w:color w:val="2F5496" w:themeColor="accent1" w:themeShade="BF"/>
      <w:sz w:val="28"/>
      <w:szCs w:val="28"/>
      <w:lang w:bidi="ar-SA"/>
    </w:rPr>
  </w:style>
  <w:style w:type="character" w:styleId="Emphasis">
    <w:name w:val="Emphasis"/>
    <w:basedOn w:val="DefaultParagraphFont"/>
    <w:uiPriority w:val="20"/>
    <w:qFormat/>
    <w:rsid w:val="00804664"/>
    <w:rPr>
      <w:i/>
      <w:iCs/>
    </w:rPr>
  </w:style>
  <w:style w:type="paragraph" w:customStyle="1" w:styleId="Default">
    <w:name w:val="Default"/>
    <w:qFormat/>
    <w:rsid w:val="0080466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466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1">
    <w:name w:val="Unresolved Mention1"/>
    <w:basedOn w:val="DefaultParagraphFont"/>
    <w:uiPriority w:val="99"/>
    <w:semiHidden/>
    <w:unhideWhenUsed/>
    <w:rsid w:val="00804664"/>
    <w:rPr>
      <w:color w:val="605E5C"/>
      <w:shd w:val="clear" w:color="auto" w:fill="E1DFDD"/>
    </w:rPr>
  </w:style>
  <w:style w:type="character" w:customStyle="1" w:styleId="NoSpacingChar">
    <w:name w:val="No Spacing Char"/>
    <w:link w:val="NoSpacing"/>
    <w:uiPriority w:val="1"/>
    <w:rsid w:val="00804664"/>
    <w:rPr>
      <w:rFonts w:cs="Mangal"/>
    </w:rPr>
  </w:style>
  <w:style w:type="character" w:styleId="Strong">
    <w:name w:val="Strong"/>
    <w:basedOn w:val="DefaultParagraphFont"/>
    <w:uiPriority w:val="22"/>
    <w:qFormat/>
    <w:rsid w:val="000078A1"/>
    <w:rPr>
      <w:b/>
      <w:bCs/>
    </w:rPr>
  </w:style>
  <w:style w:type="paragraph" w:styleId="Caption">
    <w:name w:val="caption"/>
    <w:basedOn w:val="Normal"/>
    <w:next w:val="Normal"/>
    <w:uiPriority w:val="35"/>
    <w:unhideWhenUsed/>
    <w:qFormat/>
    <w:rsid w:val="000078A1"/>
    <w:pPr>
      <w:spacing w:line="240" w:lineRule="auto"/>
    </w:pPr>
    <w:rPr>
      <w:i/>
      <w:iCs/>
      <w:color w:val="44546A" w:themeColor="text2"/>
      <w:sz w:val="18"/>
      <w:szCs w:val="18"/>
      <w:lang w:val="en-IN"/>
    </w:rPr>
  </w:style>
  <w:style w:type="table" w:styleId="TableGrid">
    <w:name w:val="Table Grid"/>
    <w:basedOn w:val="TableNormal"/>
    <w:uiPriority w:val="59"/>
    <w:qFormat/>
    <w:rsid w:val="00151D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33233"/>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33233"/>
    <w:rPr>
      <w:rFonts w:ascii="Calibri" w:hAnsi="Calibri" w:cs="Calibri"/>
      <w:noProof/>
      <w:szCs w:val="22"/>
      <w:lang w:bidi="ar-SA"/>
    </w:rPr>
  </w:style>
  <w:style w:type="paragraph" w:styleId="BalloonText">
    <w:name w:val="Balloon Text"/>
    <w:basedOn w:val="Normal"/>
    <w:link w:val="BalloonTextChar"/>
    <w:uiPriority w:val="99"/>
    <w:unhideWhenUsed/>
    <w:rsid w:val="00D33233"/>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3233"/>
    <w:rPr>
      <w:rFonts w:ascii="Tahoma" w:hAnsi="Tahoma" w:cs="Tahoma"/>
      <w:sz w:val="16"/>
      <w:szCs w:val="16"/>
      <w:lang w:bidi="ar-SA"/>
    </w:rPr>
  </w:style>
  <w:style w:type="character" w:customStyle="1" w:styleId="Heading2Char">
    <w:name w:val="Heading 2 Char"/>
    <w:basedOn w:val="DefaultParagraphFont"/>
    <w:link w:val="Heading2"/>
    <w:uiPriority w:val="9"/>
    <w:rsid w:val="0096710C"/>
    <w:rPr>
      <w:rFonts w:asciiTheme="majorHAnsi" w:eastAsiaTheme="majorEastAsia" w:hAnsiTheme="majorHAnsi" w:cstheme="majorBidi"/>
      <w:color w:val="2F5496" w:themeColor="accent1" w:themeShade="BF"/>
      <w:sz w:val="26"/>
      <w:szCs w:val="26"/>
      <w:lang w:bidi="ar-SA"/>
    </w:rPr>
  </w:style>
  <w:style w:type="paragraph" w:styleId="Title">
    <w:name w:val="Title"/>
    <w:basedOn w:val="Normal"/>
    <w:link w:val="TitleChar"/>
    <w:uiPriority w:val="1"/>
    <w:qFormat/>
    <w:rsid w:val="0096710C"/>
    <w:pPr>
      <w:widowControl w:val="0"/>
      <w:autoSpaceDE w:val="0"/>
      <w:autoSpaceDN w:val="0"/>
      <w:spacing w:before="1" w:after="0" w:line="240" w:lineRule="auto"/>
      <w:ind w:left="1622" w:right="2195"/>
    </w:pPr>
    <w:rPr>
      <w:rFonts w:ascii="Arial Black" w:eastAsia="Arial Black" w:hAnsi="Arial Black" w:cs="Arial Black"/>
      <w:sz w:val="36"/>
      <w:szCs w:val="36"/>
    </w:rPr>
  </w:style>
  <w:style w:type="character" w:customStyle="1" w:styleId="TitleChar">
    <w:name w:val="Title Char"/>
    <w:basedOn w:val="DefaultParagraphFont"/>
    <w:link w:val="Title"/>
    <w:rsid w:val="0096710C"/>
    <w:rPr>
      <w:rFonts w:ascii="Arial Black" w:eastAsia="Arial Black" w:hAnsi="Arial Black" w:cs="Arial Black"/>
      <w:sz w:val="36"/>
      <w:szCs w:val="36"/>
      <w:lang w:bidi="ar-SA"/>
    </w:rPr>
  </w:style>
  <w:style w:type="paragraph" w:customStyle="1" w:styleId="TableParagraph">
    <w:name w:val="Table Paragraph"/>
    <w:basedOn w:val="Normal"/>
    <w:uiPriority w:val="1"/>
    <w:qFormat/>
    <w:rsid w:val="0096710C"/>
    <w:pPr>
      <w:widowControl w:val="0"/>
      <w:autoSpaceDE w:val="0"/>
      <w:autoSpaceDN w:val="0"/>
      <w:spacing w:after="0" w:line="240" w:lineRule="auto"/>
    </w:pPr>
    <w:rPr>
      <w:rFonts w:ascii="Trebuchet MS" w:eastAsia="Trebuchet MS" w:hAnsi="Trebuchet MS" w:cs="Trebuchet MS"/>
    </w:rPr>
  </w:style>
  <w:style w:type="character" w:customStyle="1" w:styleId="css-x5hiaf">
    <w:name w:val="css-x5hiaf"/>
    <w:basedOn w:val="DefaultParagraphFont"/>
    <w:rsid w:val="0096710C"/>
  </w:style>
  <w:style w:type="character" w:customStyle="1" w:styleId="css-15iwe0d">
    <w:name w:val="css-15iwe0d"/>
    <w:basedOn w:val="DefaultParagraphFont"/>
    <w:rsid w:val="0096710C"/>
  </w:style>
  <w:style w:type="character" w:customStyle="1" w:styleId="css-2yp7ui">
    <w:name w:val="css-2yp7ui"/>
    <w:basedOn w:val="DefaultParagraphFont"/>
    <w:rsid w:val="0096710C"/>
  </w:style>
  <w:style w:type="character" w:customStyle="1" w:styleId="css-rh820s">
    <w:name w:val="css-rh820s"/>
    <w:basedOn w:val="DefaultParagraphFont"/>
    <w:rsid w:val="0096710C"/>
  </w:style>
  <w:style w:type="character" w:customStyle="1" w:styleId="css-1eh0vfs">
    <w:name w:val="css-1eh0vfs"/>
    <w:basedOn w:val="DefaultParagraphFont"/>
    <w:rsid w:val="0096710C"/>
  </w:style>
  <w:style w:type="character" w:customStyle="1" w:styleId="css-0">
    <w:name w:val="css-0"/>
    <w:basedOn w:val="DefaultParagraphFont"/>
    <w:rsid w:val="0096710C"/>
  </w:style>
  <w:style w:type="character" w:customStyle="1" w:styleId="css-1ber87j">
    <w:name w:val="css-1ber87j"/>
    <w:basedOn w:val="DefaultParagraphFont"/>
    <w:rsid w:val="0096710C"/>
  </w:style>
  <w:style w:type="table" w:customStyle="1" w:styleId="1">
    <w:name w:val="شبكة جدول1"/>
    <w:basedOn w:val="TableNormal"/>
    <w:uiPriority w:val="39"/>
    <w:qFormat/>
    <w:rsid w:val="00C155D4"/>
    <w:pPr>
      <w:spacing w:after="0" w:line="240" w:lineRule="auto"/>
    </w:pPr>
    <w:rPr>
      <w:rFonts w:ascii="Times New Roman" w:eastAsia="SimSun" w:hAnsi="Times New Roman" w:cs="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1662C"/>
  </w:style>
  <w:style w:type="character" w:customStyle="1" w:styleId="mo">
    <w:name w:val="mo"/>
    <w:basedOn w:val="DefaultParagraphFont"/>
    <w:rsid w:val="00C1662C"/>
  </w:style>
  <w:style w:type="character" w:customStyle="1" w:styleId="mn">
    <w:name w:val="mn"/>
    <w:basedOn w:val="DefaultParagraphFont"/>
    <w:rsid w:val="00C1662C"/>
  </w:style>
  <w:style w:type="character" w:styleId="LineNumber">
    <w:name w:val="line number"/>
    <w:basedOn w:val="DefaultParagraphFont"/>
    <w:uiPriority w:val="99"/>
    <w:semiHidden/>
    <w:unhideWhenUsed/>
    <w:rsid w:val="00C1662C"/>
  </w:style>
  <w:style w:type="character" w:styleId="PlaceholderText">
    <w:name w:val="Placeholder Text"/>
    <w:basedOn w:val="DefaultParagraphFont"/>
    <w:uiPriority w:val="99"/>
    <w:semiHidden/>
    <w:rsid w:val="00C1662C"/>
    <w:rPr>
      <w:color w:val="808080"/>
    </w:rPr>
  </w:style>
  <w:style w:type="table" w:customStyle="1" w:styleId="Style11">
    <w:name w:val="_Style 11"/>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2">
    <w:name w:val="_Style 12"/>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3">
    <w:name w:val="_Style 13"/>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4">
    <w:name w:val="_Style 14"/>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5">
    <w:name w:val="_Style 15"/>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6">
    <w:name w:val="_Style 16"/>
    <w:basedOn w:val="TableNormal"/>
    <w:rsid w:val="00A640A3"/>
    <w:pPr>
      <w:spacing w:after="0" w:line="240" w:lineRule="auto"/>
    </w:pPr>
    <w:rPr>
      <w:rFonts w:ascii="Calibri" w:eastAsia="Calibri" w:hAnsi="Calibri" w:cs="Calibri"/>
      <w:sz w:val="20"/>
    </w:rPr>
    <w:tblPr>
      <w:tblCellMar>
        <w:left w:w="0" w:type="dxa"/>
        <w:right w:w="0" w:type="dxa"/>
      </w:tblCellMar>
    </w:tblPr>
  </w:style>
  <w:style w:type="table" w:customStyle="1" w:styleId="Style17">
    <w:name w:val="_Style 17"/>
    <w:basedOn w:val="TableNormal"/>
    <w:rsid w:val="00A640A3"/>
    <w:pPr>
      <w:spacing w:after="0" w:line="240" w:lineRule="auto"/>
    </w:pPr>
    <w:rPr>
      <w:rFonts w:ascii="Calibri" w:eastAsia="Calibri" w:hAnsi="Calibri" w:cs="Calibri"/>
      <w:sz w:val="20"/>
    </w:rPr>
    <w:tblPr>
      <w:tblCellMar>
        <w:left w:w="0" w:type="dxa"/>
        <w:right w:w="0" w:type="dxa"/>
      </w:tblCellMar>
    </w:tblPr>
  </w:style>
  <w:style w:type="character" w:customStyle="1" w:styleId="Heading3Char">
    <w:name w:val="Heading 3 Char"/>
    <w:basedOn w:val="DefaultParagraphFont"/>
    <w:link w:val="Heading3"/>
    <w:uiPriority w:val="9"/>
    <w:rsid w:val="00EF150E"/>
    <w:rPr>
      <w:rFonts w:asciiTheme="majorHAnsi" w:eastAsiaTheme="majorEastAsia" w:hAnsiTheme="majorHAnsi" w:cstheme="majorBidi"/>
      <w:color w:val="1F3763" w:themeColor="accent1" w:themeShade="7F"/>
      <w:sz w:val="24"/>
      <w:szCs w:val="24"/>
      <w:lang w:bidi="ar-SA"/>
    </w:rPr>
  </w:style>
  <w:style w:type="paragraph" w:styleId="FootnoteText">
    <w:name w:val="footnote text"/>
    <w:aliases w:val="список,Знак Знак Знак,Знак Знак Знак Знак Знак,Знак Знак Знак Знак Знак Знак,Знак Знак Знак Знак,Текст сноски Знак Знак,Текст сноски Знак1 Знак Знак,Текст сноски Знак Знак Знак Знак,single space Знак Знак Знак Знак,ft Знак Знак Знак Знак"/>
    <w:basedOn w:val="Normal"/>
    <w:link w:val="FootnoteTextChar"/>
    <w:unhideWhenUsed/>
    <w:rsid w:val="00EF150E"/>
    <w:pPr>
      <w:spacing w:after="0" w:line="240" w:lineRule="auto"/>
    </w:pPr>
    <w:rPr>
      <w:sz w:val="20"/>
      <w:szCs w:val="20"/>
      <w:lang w:val="en-IN"/>
    </w:rPr>
  </w:style>
  <w:style w:type="character" w:customStyle="1" w:styleId="FootnoteTextChar">
    <w:name w:val="Footnote Text Char"/>
    <w:aliases w:val="список Char,Знак Знак Знак Char,Знак Знак Знак Знак Знак Char,Знак Знак Знак Знак Знак Знак Char,Знак Знак Знак Знак Char,Текст сноски Знак Знак Char,Текст сноски Знак1 Знак Знак Char,Текст сноски Знак Знак Знак Знак Char"/>
    <w:basedOn w:val="DefaultParagraphFont"/>
    <w:link w:val="FootnoteText"/>
    <w:rsid w:val="00EF150E"/>
    <w:rPr>
      <w:sz w:val="20"/>
      <w:lang w:val="en-IN" w:bidi="ar-SA"/>
    </w:rPr>
  </w:style>
  <w:style w:type="character" w:styleId="FootnoteReference">
    <w:name w:val="footnote reference"/>
    <w:basedOn w:val="DefaultParagraphFont"/>
    <w:uiPriority w:val="99"/>
    <w:semiHidden/>
    <w:unhideWhenUsed/>
    <w:rsid w:val="00EF150E"/>
    <w:rPr>
      <w:vertAlign w:val="superscript"/>
    </w:rPr>
  </w:style>
  <w:style w:type="character" w:customStyle="1" w:styleId="fontstyle01">
    <w:name w:val="fontstyle01"/>
    <w:basedOn w:val="DefaultParagraphFont"/>
    <w:rsid w:val="000A2CCB"/>
    <w:rPr>
      <w:rFonts w:ascii="CIDFont+F1" w:hAnsi="CIDFont+F1" w:hint="default"/>
      <w:b w:val="0"/>
      <w:bCs w:val="0"/>
      <w:i/>
      <w:iCs/>
      <w:color w:val="000000"/>
      <w:sz w:val="20"/>
      <w:szCs w:val="20"/>
    </w:rPr>
  </w:style>
  <w:style w:type="character" w:customStyle="1" w:styleId="fontstyle31">
    <w:name w:val="fontstyle31"/>
    <w:basedOn w:val="DefaultParagraphFont"/>
    <w:rsid w:val="000A2CCB"/>
    <w:rPr>
      <w:rFonts w:ascii="CIDFont+F4" w:hAnsi="CIDFont+F4" w:hint="default"/>
      <w:b/>
      <w:bCs/>
      <w:i w:val="0"/>
      <w:iCs w:val="0"/>
      <w:color w:val="000000"/>
      <w:sz w:val="32"/>
      <w:szCs w:val="32"/>
    </w:rPr>
  </w:style>
  <w:style w:type="paragraph" w:styleId="EndnoteText">
    <w:name w:val="endnote text"/>
    <w:basedOn w:val="Normal"/>
    <w:link w:val="EndnoteTextChar"/>
    <w:uiPriority w:val="99"/>
    <w:semiHidden/>
    <w:unhideWhenUsed/>
    <w:rsid w:val="002B326B"/>
    <w:pPr>
      <w:spacing w:after="0" w:line="240" w:lineRule="auto"/>
    </w:pPr>
    <w:rPr>
      <w:rFonts w:ascii="Calibri" w:eastAsia="Calibri" w:hAnsi="Calibri" w:cs="Mangal"/>
      <w:sz w:val="20"/>
      <w:szCs w:val="20"/>
      <w:lang w:val="en-IN"/>
    </w:rPr>
  </w:style>
  <w:style w:type="character" w:customStyle="1" w:styleId="EndnoteTextChar">
    <w:name w:val="Endnote Text Char"/>
    <w:basedOn w:val="DefaultParagraphFont"/>
    <w:link w:val="EndnoteText"/>
    <w:uiPriority w:val="99"/>
    <w:semiHidden/>
    <w:rsid w:val="002B326B"/>
    <w:rPr>
      <w:rFonts w:ascii="Calibri" w:eastAsia="Calibri" w:hAnsi="Calibri" w:cs="Mangal"/>
      <w:sz w:val="20"/>
      <w:lang w:val="en-IN" w:bidi="ar-SA"/>
    </w:rPr>
  </w:style>
  <w:style w:type="character" w:styleId="EndnoteReference">
    <w:name w:val="endnote reference"/>
    <w:basedOn w:val="DefaultParagraphFont"/>
    <w:uiPriority w:val="99"/>
    <w:semiHidden/>
    <w:unhideWhenUsed/>
    <w:rsid w:val="002B326B"/>
    <w:rPr>
      <w:vertAlign w:val="superscript"/>
    </w:rPr>
  </w:style>
  <w:style w:type="character" w:customStyle="1" w:styleId="jsauthors">
    <w:name w:val="js_authors"/>
    <w:basedOn w:val="DefaultParagraphFont"/>
    <w:rsid w:val="00845E61"/>
  </w:style>
  <w:style w:type="character" w:customStyle="1" w:styleId="jspublicationdate">
    <w:name w:val="js_publication_date"/>
    <w:basedOn w:val="DefaultParagraphFont"/>
    <w:rsid w:val="00845E61"/>
  </w:style>
  <w:style w:type="character" w:customStyle="1" w:styleId="Heading4Char">
    <w:name w:val="Heading 4 Char"/>
    <w:basedOn w:val="DefaultParagraphFont"/>
    <w:link w:val="Heading4"/>
    <w:uiPriority w:val="9"/>
    <w:semiHidden/>
    <w:rsid w:val="0081715A"/>
    <w:rPr>
      <w:rFonts w:asciiTheme="majorHAnsi" w:eastAsiaTheme="majorEastAsia" w:hAnsiTheme="majorHAnsi" w:cstheme="majorBidi"/>
      <w:i/>
      <w:iCs/>
      <w:color w:val="2F5496" w:themeColor="accent1" w:themeShade="BF"/>
      <w:szCs w:val="22"/>
      <w:lang w:bidi="ar-SA"/>
    </w:rPr>
  </w:style>
  <w:style w:type="character" w:customStyle="1" w:styleId="ts-alignment-element-highlighted">
    <w:name w:val="ts-alignment-element-highlighted"/>
    <w:basedOn w:val="DefaultParagraphFont"/>
    <w:rsid w:val="0081715A"/>
  </w:style>
  <w:style w:type="character" w:customStyle="1" w:styleId="rynqvb">
    <w:name w:val="rynqvb"/>
    <w:basedOn w:val="DefaultParagraphFont"/>
    <w:rsid w:val="0081715A"/>
  </w:style>
  <w:style w:type="character" w:customStyle="1" w:styleId="Heading5Char">
    <w:name w:val="Heading 5 Char"/>
    <w:basedOn w:val="DefaultParagraphFont"/>
    <w:link w:val="Heading5"/>
    <w:uiPriority w:val="9"/>
    <w:semiHidden/>
    <w:rsid w:val="001C6CBD"/>
    <w:rPr>
      <w:rFonts w:asciiTheme="majorHAnsi" w:eastAsiaTheme="majorEastAsia" w:hAnsiTheme="majorHAnsi" w:cstheme="majorBidi"/>
      <w:color w:val="2F5496" w:themeColor="accent1" w:themeShade="BF"/>
      <w:kern w:val="2"/>
      <w:sz w:val="24"/>
      <w:szCs w:val="24"/>
      <w:lang w:bidi="ar-SA"/>
      <w14:ligatures w14:val="standardContextual"/>
    </w:rPr>
  </w:style>
  <w:style w:type="character" w:customStyle="1" w:styleId="Heading6Char">
    <w:name w:val="Heading 6 Char"/>
    <w:basedOn w:val="DefaultParagraphFont"/>
    <w:link w:val="Heading6"/>
    <w:semiHidden/>
    <w:rsid w:val="001C6CBD"/>
    <w:rPr>
      <w:rFonts w:asciiTheme="majorHAnsi" w:eastAsiaTheme="majorEastAsia" w:hAnsiTheme="majorHAnsi" w:cstheme="majorBidi"/>
      <w:color w:val="1F3763" w:themeColor="accent1" w:themeShade="7F"/>
      <w:kern w:val="2"/>
      <w:sz w:val="24"/>
      <w:szCs w:val="24"/>
      <w:lang w:bidi="ar-SA"/>
      <w14:ligatures w14:val="standardContextual"/>
    </w:rPr>
  </w:style>
  <w:style w:type="character" w:customStyle="1" w:styleId="Heading7Char">
    <w:name w:val="Heading 7 Char"/>
    <w:basedOn w:val="DefaultParagraphFont"/>
    <w:link w:val="Heading7"/>
    <w:semiHidden/>
    <w:rsid w:val="001C6CBD"/>
    <w:rPr>
      <w:rFonts w:asciiTheme="majorHAnsi" w:eastAsiaTheme="majorEastAsia" w:hAnsiTheme="majorHAnsi" w:cstheme="majorBidi"/>
      <w:i/>
      <w:iCs/>
      <w:color w:val="1F3763" w:themeColor="accent1" w:themeShade="7F"/>
      <w:kern w:val="2"/>
      <w:sz w:val="24"/>
      <w:szCs w:val="24"/>
      <w:lang w:bidi="ar-SA"/>
      <w14:ligatures w14:val="standardContextual"/>
    </w:rPr>
  </w:style>
  <w:style w:type="character" w:customStyle="1" w:styleId="Heading8Char">
    <w:name w:val="Heading 8 Char"/>
    <w:basedOn w:val="DefaultParagraphFont"/>
    <w:link w:val="Heading8"/>
    <w:rsid w:val="001C6CBD"/>
    <w:rPr>
      <w:rFonts w:asciiTheme="majorHAnsi" w:eastAsiaTheme="majorEastAsia" w:hAnsiTheme="majorHAnsi" w:cstheme="majorBidi"/>
      <w:color w:val="272727" w:themeColor="text1" w:themeTint="D8"/>
      <w:kern w:val="2"/>
      <w:sz w:val="21"/>
      <w:szCs w:val="21"/>
      <w:lang w:bidi="ar-SA"/>
      <w14:ligatures w14:val="standardContextual"/>
    </w:rPr>
  </w:style>
  <w:style w:type="character" w:customStyle="1" w:styleId="Heading9Char">
    <w:name w:val="Heading 9 Char"/>
    <w:basedOn w:val="DefaultParagraphFont"/>
    <w:link w:val="Heading9"/>
    <w:semiHidden/>
    <w:rsid w:val="001C6CBD"/>
    <w:rPr>
      <w:rFonts w:asciiTheme="majorHAnsi" w:eastAsiaTheme="majorEastAsia" w:hAnsiTheme="majorHAnsi" w:cstheme="majorBidi"/>
      <w:i/>
      <w:iCs/>
      <w:color w:val="272727" w:themeColor="text1" w:themeTint="D8"/>
      <w:kern w:val="2"/>
      <w:sz w:val="21"/>
      <w:szCs w:val="21"/>
      <w:lang w:bidi="ar-SA"/>
      <w14:ligatures w14:val="standardContextual"/>
    </w:rPr>
  </w:style>
  <w:style w:type="paragraph" w:styleId="Subtitle">
    <w:name w:val="Subtitle"/>
    <w:basedOn w:val="Normal"/>
    <w:link w:val="SubtitleChar"/>
    <w:qFormat/>
    <w:rsid w:val="00CC7EB5"/>
    <w:pPr>
      <w:spacing w:after="0" w:line="240" w:lineRule="auto"/>
      <w:jc w:val="center"/>
    </w:pPr>
    <w:rPr>
      <w:rFonts w:ascii="Times New Roman" w:eastAsia="Times New Roman" w:hAnsi="Times New Roman" w:cs="Traditional Arabic"/>
      <w:b/>
      <w:bCs/>
      <w:snapToGrid w:val="0"/>
      <w:sz w:val="24"/>
      <w:szCs w:val="20"/>
      <w:lang w:eastAsia="ar-SA"/>
    </w:rPr>
  </w:style>
  <w:style w:type="character" w:customStyle="1" w:styleId="SubtitleChar">
    <w:name w:val="Subtitle Char"/>
    <w:basedOn w:val="DefaultParagraphFont"/>
    <w:link w:val="Subtitle"/>
    <w:rsid w:val="00CC7EB5"/>
    <w:rPr>
      <w:rFonts w:ascii="Times New Roman" w:eastAsia="Times New Roman" w:hAnsi="Times New Roman" w:cs="Traditional Arabic"/>
      <w:b/>
      <w:bCs/>
      <w:snapToGrid w:val="0"/>
      <w:sz w:val="24"/>
      <w:lang w:eastAsia="ar-SA" w:bidi="ar-SA"/>
    </w:rPr>
  </w:style>
  <w:style w:type="character" w:styleId="PageNumber">
    <w:name w:val="page number"/>
    <w:rsid w:val="00CC7EB5"/>
    <w:rPr>
      <w:rFonts w:cs="Traditional Arabic"/>
    </w:rPr>
  </w:style>
  <w:style w:type="paragraph" w:styleId="BodyText2">
    <w:name w:val="Body Text 2"/>
    <w:basedOn w:val="Normal"/>
    <w:link w:val="BodyText2Char"/>
    <w:uiPriority w:val="99"/>
    <w:rsid w:val="00CC7EB5"/>
    <w:pPr>
      <w:spacing w:after="0" w:line="360" w:lineRule="auto"/>
      <w:jc w:val="lowKashida"/>
    </w:pPr>
    <w:rPr>
      <w:rFonts w:ascii="Times New Roman" w:eastAsia="Times New Roman" w:hAnsi="Times New Roman" w:cs="Traditional Arabic"/>
      <w:noProof/>
      <w:sz w:val="24"/>
      <w:szCs w:val="20"/>
      <w:lang w:eastAsia="ar-SA"/>
    </w:rPr>
  </w:style>
  <w:style w:type="character" w:customStyle="1" w:styleId="BodyText2Char">
    <w:name w:val="Body Text 2 Char"/>
    <w:basedOn w:val="DefaultParagraphFont"/>
    <w:link w:val="BodyText2"/>
    <w:uiPriority w:val="99"/>
    <w:rsid w:val="00CC7EB5"/>
    <w:rPr>
      <w:rFonts w:ascii="Times New Roman" w:eastAsia="Times New Roman" w:hAnsi="Times New Roman" w:cs="Traditional Arabic"/>
      <w:noProof/>
      <w:sz w:val="24"/>
      <w:lang w:eastAsia="ar-SA" w:bidi="ar-SA"/>
    </w:rPr>
  </w:style>
  <w:style w:type="paragraph" w:styleId="BodyTextIndent">
    <w:name w:val="Body Text Indent"/>
    <w:basedOn w:val="Normal"/>
    <w:link w:val="BodyTextIndentChar"/>
    <w:uiPriority w:val="99"/>
    <w:rsid w:val="00CC7EB5"/>
    <w:pPr>
      <w:spacing w:after="0" w:line="360" w:lineRule="auto"/>
      <w:jc w:val="lowKashida"/>
    </w:pPr>
    <w:rPr>
      <w:rFonts w:ascii="Times New Roman" w:eastAsia="Times New Roman" w:hAnsi="Times New Roman" w:cs="Traditional Arabic"/>
      <w:snapToGrid w:val="0"/>
      <w:sz w:val="24"/>
      <w:szCs w:val="20"/>
      <w:lang w:eastAsia="ar-SA"/>
    </w:rPr>
  </w:style>
  <w:style w:type="character" w:customStyle="1" w:styleId="BodyTextIndentChar">
    <w:name w:val="Body Text Indent Char"/>
    <w:basedOn w:val="DefaultParagraphFont"/>
    <w:link w:val="BodyTextIndent"/>
    <w:uiPriority w:val="99"/>
    <w:rsid w:val="00CC7EB5"/>
    <w:rPr>
      <w:rFonts w:ascii="Times New Roman" w:eastAsia="Times New Roman" w:hAnsi="Times New Roman" w:cs="Traditional Arabic"/>
      <w:snapToGrid w:val="0"/>
      <w:sz w:val="24"/>
      <w:lang w:eastAsia="ar-SA" w:bidi="ar-SA"/>
    </w:rPr>
  </w:style>
  <w:style w:type="character" w:customStyle="1" w:styleId="apple-converted-space">
    <w:name w:val="apple-converted-space"/>
    <w:basedOn w:val="DefaultParagraphFont"/>
    <w:rsid w:val="00CC7EB5"/>
  </w:style>
  <w:style w:type="paragraph" w:customStyle="1" w:styleId="EndNoteBibliographyTitle">
    <w:name w:val="EndNote Bibliography Title"/>
    <w:basedOn w:val="Normal"/>
    <w:link w:val="EndNoteBibliographyTitleChar"/>
    <w:rsid w:val="00CC7EB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C7EB5"/>
    <w:rPr>
      <w:rFonts w:ascii="Calibri" w:hAnsi="Calibri" w:cs="Calibri"/>
      <w:noProof/>
      <w:szCs w:val="22"/>
      <w:lang w:bidi="ar-SA"/>
    </w:rPr>
  </w:style>
  <w:style w:type="paragraph" w:customStyle="1" w:styleId="MDPI16affiliation">
    <w:name w:val="MDPI_1.6_affiliation"/>
    <w:qFormat/>
    <w:rsid w:val="00CC7EB5"/>
    <w:pPr>
      <w:adjustRightInd w:val="0"/>
      <w:snapToGrid w:val="0"/>
      <w:spacing w:after="0" w:line="260" w:lineRule="atLeast"/>
      <w:ind w:left="311" w:hanging="198"/>
    </w:pPr>
    <w:rPr>
      <w:rFonts w:ascii="Palatino Linotype" w:eastAsia="Times New Roman" w:hAnsi="Palatino Linotype" w:cs="Times New Roman"/>
      <w:color w:val="000000"/>
      <w:sz w:val="18"/>
      <w:szCs w:val="18"/>
      <w:lang w:eastAsia="de-DE" w:bidi="en-US"/>
    </w:rPr>
  </w:style>
  <w:style w:type="character" w:styleId="CommentReference">
    <w:name w:val="annotation reference"/>
    <w:basedOn w:val="DefaultParagraphFont"/>
    <w:uiPriority w:val="99"/>
    <w:semiHidden/>
    <w:unhideWhenUsed/>
    <w:rsid w:val="00CC7EB5"/>
    <w:rPr>
      <w:sz w:val="16"/>
      <w:szCs w:val="16"/>
    </w:rPr>
  </w:style>
  <w:style w:type="paragraph" w:styleId="CommentText">
    <w:name w:val="annotation text"/>
    <w:basedOn w:val="Normal"/>
    <w:link w:val="CommentTextChar"/>
    <w:uiPriority w:val="99"/>
    <w:unhideWhenUsed/>
    <w:rsid w:val="00CC7EB5"/>
    <w:pPr>
      <w:spacing w:line="240" w:lineRule="auto"/>
    </w:pPr>
    <w:rPr>
      <w:sz w:val="20"/>
      <w:szCs w:val="20"/>
    </w:rPr>
  </w:style>
  <w:style w:type="character" w:customStyle="1" w:styleId="CommentTextChar">
    <w:name w:val="Comment Text Char"/>
    <w:basedOn w:val="DefaultParagraphFont"/>
    <w:link w:val="CommentText"/>
    <w:uiPriority w:val="99"/>
    <w:rsid w:val="00CC7EB5"/>
    <w:rPr>
      <w:sz w:val="20"/>
      <w:lang w:bidi="ar-SA"/>
    </w:rPr>
  </w:style>
  <w:style w:type="paragraph" w:styleId="CommentSubject">
    <w:name w:val="annotation subject"/>
    <w:basedOn w:val="CommentText"/>
    <w:next w:val="CommentText"/>
    <w:link w:val="CommentSubjectChar"/>
    <w:uiPriority w:val="99"/>
    <w:semiHidden/>
    <w:unhideWhenUsed/>
    <w:rsid w:val="00CC7EB5"/>
    <w:rPr>
      <w:b/>
      <w:bCs/>
    </w:rPr>
  </w:style>
  <w:style w:type="character" w:customStyle="1" w:styleId="CommentSubjectChar">
    <w:name w:val="Comment Subject Char"/>
    <w:basedOn w:val="CommentTextChar"/>
    <w:link w:val="CommentSubject"/>
    <w:uiPriority w:val="99"/>
    <w:semiHidden/>
    <w:rsid w:val="00CC7EB5"/>
    <w:rPr>
      <w:b/>
      <w:bCs/>
      <w:sz w:val="20"/>
      <w:lang w:bidi="ar-SA"/>
    </w:rPr>
  </w:style>
  <w:style w:type="paragraph" w:styleId="TOCHeading">
    <w:name w:val="TOC Heading"/>
    <w:basedOn w:val="Heading1"/>
    <w:next w:val="Normal"/>
    <w:uiPriority w:val="39"/>
    <w:unhideWhenUsed/>
    <w:qFormat/>
    <w:rsid w:val="00CC7EB5"/>
    <w:pPr>
      <w:spacing w:before="0" w:line="259" w:lineRule="auto"/>
      <w:outlineLvl w:val="9"/>
    </w:pPr>
    <w:rPr>
      <w:b w:val="0"/>
      <w:bCs w:val="0"/>
      <w:sz w:val="32"/>
      <w:szCs w:val="24"/>
    </w:rPr>
  </w:style>
  <w:style w:type="paragraph" w:styleId="TOC1">
    <w:name w:val="toc 1"/>
    <w:basedOn w:val="Normal"/>
    <w:next w:val="Normal"/>
    <w:autoRedefine/>
    <w:uiPriority w:val="39"/>
    <w:unhideWhenUsed/>
    <w:rsid w:val="00CC7EB5"/>
    <w:pPr>
      <w:spacing w:after="100"/>
    </w:pPr>
  </w:style>
  <w:style w:type="paragraph" w:styleId="TOC2">
    <w:name w:val="toc 2"/>
    <w:basedOn w:val="Normal"/>
    <w:next w:val="Normal"/>
    <w:autoRedefine/>
    <w:uiPriority w:val="39"/>
    <w:unhideWhenUsed/>
    <w:rsid w:val="00CC7EB5"/>
    <w:pPr>
      <w:spacing w:after="100"/>
      <w:ind w:left="220"/>
    </w:pPr>
  </w:style>
  <w:style w:type="paragraph" w:styleId="TOC3">
    <w:name w:val="toc 3"/>
    <w:basedOn w:val="Normal"/>
    <w:next w:val="Normal"/>
    <w:autoRedefine/>
    <w:uiPriority w:val="39"/>
    <w:unhideWhenUsed/>
    <w:rsid w:val="00CC7EB5"/>
    <w:pPr>
      <w:spacing w:after="100"/>
      <w:ind w:left="440"/>
    </w:pPr>
  </w:style>
  <w:style w:type="paragraph" w:styleId="Bibliography">
    <w:name w:val="Bibliography"/>
    <w:basedOn w:val="Normal"/>
    <w:next w:val="Normal"/>
    <w:uiPriority w:val="37"/>
    <w:unhideWhenUsed/>
    <w:rsid w:val="00CC7EB5"/>
    <w:pPr>
      <w:spacing w:after="0" w:line="480" w:lineRule="auto"/>
      <w:ind w:left="720" w:hanging="720"/>
    </w:pPr>
  </w:style>
  <w:style w:type="character" w:customStyle="1" w:styleId="mixed-citation">
    <w:name w:val="mixed-citation"/>
    <w:basedOn w:val="DefaultParagraphFont"/>
    <w:rsid w:val="00F52BBF"/>
  </w:style>
  <w:style w:type="paragraph" w:customStyle="1" w:styleId="root-block-node">
    <w:name w:val="root-block-node"/>
    <w:basedOn w:val="Normal"/>
    <w:rsid w:val="00F52BBF"/>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customStyle="1" w:styleId="in3">
    <w:name w:val="in3"/>
    <w:basedOn w:val="Normal"/>
    <w:rsid w:val="008C237E"/>
    <w:pPr>
      <w:tabs>
        <w:tab w:val="left" w:pos="850"/>
      </w:tabs>
      <w:spacing w:after="120" w:line="360" w:lineRule="auto"/>
      <w:ind w:left="850" w:hanging="850"/>
      <w:jc w:val="both"/>
    </w:pPr>
    <w:rPr>
      <w:rFonts w:ascii="Times New Roman" w:eastAsia="Times New Roman" w:hAnsi="Times New Roman" w:cs="Times New Roman"/>
      <w:snapToGrid w:val="0"/>
      <w:sz w:val="24"/>
      <w:szCs w:val="24"/>
    </w:rPr>
  </w:style>
  <w:style w:type="paragraph" w:customStyle="1" w:styleId="left1">
    <w:name w:val="left1"/>
    <w:basedOn w:val="Normal"/>
    <w:rsid w:val="008C237E"/>
    <w:pPr>
      <w:spacing w:after="0" w:line="360" w:lineRule="auto"/>
    </w:pPr>
    <w:rPr>
      <w:rFonts w:ascii="Times New Roman" w:eastAsia="Times New Roman" w:hAnsi="Times New Roman" w:cs="Times New Roman"/>
      <w:b/>
      <w:snapToGrid w:val="0"/>
      <w:szCs w:val="20"/>
      <w:lang w:val="en-GB"/>
    </w:rPr>
  </w:style>
  <w:style w:type="paragraph" w:customStyle="1" w:styleId="StyleleftAfter0pt">
    <w:name w:val="Style left + After:  0 pt"/>
    <w:basedOn w:val="Normal"/>
    <w:qFormat/>
    <w:rsid w:val="008C237E"/>
    <w:pPr>
      <w:tabs>
        <w:tab w:val="left" w:pos="851"/>
      </w:tabs>
      <w:spacing w:before="240" w:after="120" w:line="360" w:lineRule="auto"/>
    </w:pPr>
    <w:rPr>
      <w:rFonts w:ascii="Times New Roman" w:eastAsia="Times New Roman" w:hAnsi="Times New Roman" w:cs="Times New Roman"/>
      <w:b/>
      <w:sz w:val="24"/>
      <w:szCs w:val="24"/>
      <w:lang w:val="en-GB"/>
    </w:rPr>
  </w:style>
  <w:style w:type="character" w:styleId="HTMLCite">
    <w:name w:val="HTML Cite"/>
    <w:basedOn w:val="DefaultParagraphFont"/>
    <w:uiPriority w:val="99"/>
    <w:semiHidden/>
    <w:unhideWhenUsed/>
    <w:rsid w:val="00330585"/>
    <w:rPr>
      <w:i/>
      <w:iCs/>
    </w:rPr>
  </w:style>
  <w:style w:type="paragraph" w:customStyle="1" w:styleId="AuthorName">
    <w:name w:val="Author Name"/>
    <w:basedOn w:val="Normal"/>
    <w:next w:val="AuthorAffiliation"/>
    <w:rsid w:val="007C29D0"/>
    <w:pPr>
      <w:spacing w:before="360" w:after="360" w:line="240" w:lineRule="auto"/>
      <w:jc w:val="center"/>
    </w:pPr>
    <w:rPr>
      <w:rFonts w:ascii="Times New Roman" w:eastAsia="Times New Roman" w:hAnsi="Times New Roman" w:cs="Times New Roman"/>
      <w:sz w:val="28"/>
      <w:szCs w:val="20"/>
    </w:rPr>
  </w:style>
  <w:style w:type="paragraph" w:customStyle="1" w:styleId="AuthorAffiliation">
    <w:name w:val="Author Affiliation"/>
    <w:basedOn w:val="Normal"/>
    <w:rsid w:val="007C29D0"/>
    <w:pPr>
      <w:spacing w:after="0" w:line="240" w:lineRule="auto"/>
      <w:jc w:val="center"/>
    </w:pPr>
    <w:rPr>
      <w:rFonts w:ascii="Times New Roman" w:eastAsia="Times New Roman" w:hAnsi="Times New Roman" w:cs="Times New Roman"/>
      <w:i/>
      <w:sz w:val="20"/>
      <w:szCs w:val="20"/>
    </w:rPr>
  </w:style>
  <w:style w:type="paragraph" w:customStyle="1" w:styleId="AuthorEmail">
    <w:name w:val="Author Email"/>
    <w:basedOn w:val="Normal"/>
    <w:qFormat/>
    <w:rsid w:val="007C29D0"/>
    <w:pPr>
      <w:spacing w:after="0" w:line="240" w:lineRule="auto"/>
      <w:jc w:val="center"/>
    </w:pPr>
    <w:rPr>
      <w:rFonts w:ascii="Times New Roman" w:eastAsia="Times New Roman" w:hAnsi="Times New Roman" w:cs="Times New Roman"/>
      <w:sz w:val="20"/>
      <w:szCs w:val="20"/>
    </w:rPr>
  </w:style>
  <w:style w:type="character" w:customStyle="1" w:styleId="ff5">
    <w:name w:val="ff5"/>
    <w:basedOn w:val="DefaultParagraphFont"/>
    <w:rsid w:val="00B61288"/>
  </w:style>
  <w:style w:type="character" w:customStyle="1" w:styleId="ff2">
    <w:name w:val="ff2"/>
    <w:basedOn w:val="DefaultParagraphFont"/>
    <w:rsid w:val="00B61288"/>
  </w:style>
  <w:style w:type="character" w:customStyle="1" w:styleId="ls1c">
    <w:name w:val="ls1c"/>
    <w:basedOn w:val="DefaultParagraphFont"/>
    <w:rsid w:val="00B61288"/>
  </w:style>
  <w:style w:type="character" w:customStyle="1" w:styleId="fsa">
    <w:name w:val="fsa"/>
    <w:basedOn w:val="DefaultParagraphFont"/>
    <w:rsid w:val="00B61288"/>
  </w:style>
  <w:style w:type="character" w:customStyle="1" w:styleId="fs9">
    <w:name w:val="fs9"/>
    <w:basedOn w:val="DefaultParagraphFont"/>
    <w:rsid w:val="00B61288"/>
  </w:style>
  <w:style w:type="character" w:customStyle="1" w:styleId="ls0">
    <w:name w:val="ls0"/>
    <w:basedOn w:val="DefaultParagraphFont"/>
    <w:rsid w:val="00B61288"/>
  </w:style>
  <w:style w:type="character" w:customStyle="1" w:styleId="ff4">
    <w:name w:val="ff4"/>
    <w:basedOn w:val="DefaultParagraphFont"/>
    <w:rsid w:val="00B61288"/>
  </w:style>
  <w:style w:type="table" w:styleId="GridTable1Light">
    <w:name w:val="Grid Table 1 Light"/>
    <w:basedOn w:val="TableNormal"/>
    <w:uiPriority w:val="46"/>
    <w:rsid w:val="00B70611"/>
    <w:pPr>
      <w:spacing w:after="0" w:line="240" w:lineRule="auto"/>
    </w:pPr>
    <w:rPr>
      <w:szCs w:val="22"/>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efaultParagraphFont"/>
    <w:rsid w:val="00717AFE"/>
  </w:style>
  <w:style w:type="paragraph" w:customStyle="1" w:styleId="MDPI31text">
    <w:name w:val="MDPI_3.1_text"/>
    <w:link w:val="MDPI31textChar"/>
    <w:qFormat/>
    <w:rsid w:val="008A1E9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MDPI31textChar">
    <w:name w:val="MDPI_3.1_text Char"/>
    <w:basedOn w:val="DefaultParagraphFont"/>
    <w:link w:val="MDPI31text"/>
    <w:rsid w:val="008A1E96"/>
    <w:rPr>
      <w:rFonts w:ascii="Palatino Linotype" w:eastAsia="Times New Roman" w:hAnsi="Palatino Linotype" w:cs="Times New Roman"/>
      <w:snapToGrid w:val="0"/>
      <w:color w:val="000000"/>
      <w:sz w:val="20"/>
      <w:szCs w:val="22"/>
      <w:lang w:eastAsia="de-DE" w:bidi="en-US"/>
    </w:rPr>
  </w:style>
  <w:style w:type="paragraph" w:customStyle="1" w:styleId="MDPI22heading2">
    <w:name w:val="MDPI_2.2_heading2"/>
    <w:qFormat/>
    <w:rsid w:val="008A1E9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eastAsia="de-DE" w:bidi="en-US"/>
    </w:rPr>
  </w:style>
  <w:style w:type="paragraph" w:customStyle="1" w:styleId="MDPI23heading3">
    <w:name w:val="MDPI_2.3_heading3"/>
    <w:qFormat/>
    <w:rsid w:val="008A1E9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eastAsia="de-DE" w:bidi="en-US"/>
    </w:rPr>
  </w:style>
  <w:style w:type="character" w:customStyle="1" w:styleId="cf01">
    <w:name w:val="cf01"/>
    <w:basedOn w:val="DefaultParagraphFont"/>
    <w:rsid w:val="008A1E96"/>
    <w:rPr>
      <w:rFonts w:ascii="Segoe UI" w:hAnsi="Segoe UI" w:cs="Segoe UI" w:hint="default"/>
      <w:sz w:val="18"/>
      <w:szCs w:val="18"/>
    </w:rPr>
  </w:style>
  <w:style w:type="character" w:customStyle="1" w:styleId="10">
    <w:name w:val="إشارة لم يتم حلها1"/>
    <w:basedOn w:val="DefaultParagraphFont"/>
    <w:uiPriority w:val="99"/>
    <w:semiHidden/>
    <w:unhideWhenUsed/>
    <w:rsid w:val="008A1E96"/>
    <w:rPr>
      <w:color w:val="605E5C"/>
      <w:shd w:val="clear" w:color="auto" w:fill="E1DFDD"/>
    </w:rPr>
  </w:style>
  <w:style w:type="paragraph" w:customStyle="1" w:styleId="articlebodyabstracttext">
    <w:name w:val="articlebody_abstracttext"/>
    <w:basedOn w:val="Normal"/>
    <w:rsid w:val="008A1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para">
    <w:name w:val="otherpara"/>
    <w:basedOn w:val="Normal"/>
    <w:rsid w:val="008A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ref">
    <w:name w:val="sup_ref"/>
    <w:basedOn w:val="DefaultParagraphFont"/>
    <w:rsid w:val="008A1E96"/>
  </w:style>
  <w:style w:type="character" w:customStyle="1" w:styleId="italic">
    <w:name w:val="italic"/>
    <w:basedOn w:val="DefaultParagraphFont"/>
    <w:rsid w:val="008A1E96"/>
  </w:style>
  <w:style w:type="character" w:customStyle="1" w:styleId="bold">
    <w:name w:val="bold"/>
    <w:basedOn w:val="DefaultParagraphFont"/>
    <w:rsid w:val="008A1E96"/>
  </w:style>
  <w:style w:type="character" w:customStyle="1" w:styleId="mf-jss919">
    <w:name w:val="mf-jss919"/>
    <w:basedOn w:val="DefaultParagraphFont"/>
    <w:rsid w:val="008A1E96"/>
  </w:style>
  <w:style w:type="character" w:customStyle="1" w:styleId="UnresolvedMention2">
    <w:name w:val="Unresolved Mention2"/>
    <w:basedOn w:val="DefaultParagraphFont"/>
    <w:uiPriority w:val="99"/>
    <w:semiHidden/>
    <w:unhideWhenUsed/>
    <w:rsid w:val="008A1E96"/>
    <w:rPr>
      <w:color w:val="605E5C"/>
      <w:shd w:val="clear" w:color="auto" w:fill="E1DFDD"/>
    </w:rPr>
  </w:style>
  <w:style w:type="character" w:customStyle="1" w:styleId="mjxassistivemathml">
    <w:name w:val="mjx_assistive_mathml"/>
    <w:basedOn w:val="DefaultParagraphFont"/>
    <w:rsid w:val="008A1E96"/>
  </w:style>
  <w:style w:type="paragraph" w:customStyle="1" w:styleId="pf0">
    <w:name w:val="pf0"/>
    <w:basedOn w:val="Normal"/>
    <w:rsid w:val="008A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8A1E96"/>
    <w:rPr>
      <w:rFonts w:ascii="Segoe UI" w:hAnsi="Segoe UI" w:cs="Segoe UI" w:hint="default"/>
      <w:i/>
      <w:iCs/>
      <w:sz w:val="18"/>
      <w:szCs w:val="18"/>
    </w:rPr>
  </w:style>
  <w:style w:type="character" w:customStyle="1" w:styleId="cf21">
    <w:name w:val="cf21"/>
    <w:basedOn w:val="DefaultParagraphFont"/>
    <w:rsid w:val="008A1E96"/>
    <w:rPr>
      <w:rFonts w:ascii="Segoe UI" w:hAnsi="Segoe UI" w:cs="Segoe UI" w:hint="default"/>
      <w:b/>
      <w:bCs/>
      <w:sz w:val="18"/>
      <w:szCs w:val="18"/>
    </w:rPr>
  </w:style>
  <w:style w:type="character" w:customStyle="1" w:styleId="hlfld-title">
    <w:name w:val="hlfld-title"/>
    <w:basedOn w:val="DefaultParagraphFont"/>
    <w:rsid w:val="008A1E96"/>
  </w:style>
  <w:style w:type="character" w:customStyle="1" w:styleId="cit-title">
    <w:name w:val="cit-title"/>
    <w:basedOn w:val="DefaultParagraphFont"/>
    <w:rsid w:val="008A1E96"/>
  </w:style>
  <w:style w:type="character" w:customStyle="1" w:styleId="cit-year-info">
    <w:name w:val="cit-year-info"/>
    <w:basedOn w:val="DefaultParagraphFont"/>
    <w:rsid w:val="008A1E96"/>
  </w:style>
  <w:style w:type="character" w:customStyle="1" w:styleId="cit-volume">
    <w:name w:val="cit-volume"/>
    <w:basedOn w:val="DefaultParagraphFont"/>
    <w:rsid w:val="008A1E96"/>
  </w:style>
  <w:style w:type="character" w:customStyle="1" w:styleId="cit-issue">
    <w:name w:val="cit-issue"/>
    <w:basedOn w:val="DefaultParagraphFont"/>
    <w:rsid w:val="008A1E96"/>
  </w:style>
  <w:style w:type="character" w:customStyle="1" w:styleId="cit-pagerange">
    <w:name w:val="cit-pagerange"/>
    <w:basedOn w:val="DefaultParagraphFont"/>
    <w:rsid w:val="008A1E96"/>
  </w:style>
  <w:style w:type="character" w:customStyle="1" w:styleId="anchor-text">
    <w:name w:val="anchor-text"/>
    <w:basedOn w:val="DefaultParagraphFont"/>
    <w:rsid w:val="008A1E96"/>
  </w:style>
  <w:style w:type="character" w:customStyle="1" w:styleId="UnresolvedMention3">
    <w:name w:val="Unresolved Mention3"/>
    <w:basedOn w:val="DefaultParagraphFont"/>
    <w:uiPriority w:val="99"/>
    <w:semiHidden/>
    <w:unhideWhenUsed/>
    <w:rsid w:val="008A1E96"/>
    <w:rPr>
      <w:color w:val="605E5C"/>
      <w:shd w:val="clear" w:color="auto" w:fill="E1DFDD"/>
    </w:rPr>
  </w:style>
  <w:style w:type="character" w:customStyle="1" w:styleId="label">
    <w:name w:val="label"/>
    <w:basedOn w:val="DefaultParagraphFont"/>
    <w:rsid w:val="008A1E96"/>
  </w:style>
  <w:style w:type="paragraph" w:styleId="Quote">
    <w:name w:val="Quote"/>
    <w:basedOn w:val="Normal"/>
    <w:next w:val="Normal"/>
    <w:link w:val="QuoteChar"/>
    <w:uiPriority w:val="29"/>
    <w:qFormat/>
    <w:rsid w:val="008A1E96"/>
    <w:pPr>
      <w:spacing w:after="0" w:line="240" w:lineRule="auto"/>
    </w:pPr>
    <w:rPr>
      <w:rFonts w:ascii="Times New Roman" w:eastAsia="Times New Roman" w:hAnsi="Times New Roman" w:cs="Times New Roman"/>
      <w:i/>
      <w:iCs/>
      <w:color w:val="000000"/>
      <w:sz w:val="20"/>
      <w:szCs w:val="20"/>
    </w:rPr>
  </w:style>
  <w:style w:type="character" w:customStyle="1" w:styleId="QuoteChar">
    <w:name w:val="Quote Char"/>
    <w:basedOn w:val="DefaultParagraphFont"/>
    <w:link w:val="Quote"/>
    <w:uiPriority w:val="29"/>
    <w:rsid w:val="008A1E96"/>
    <w:rPr>
      <w:rFonts w:ascii="Times New Roman" w:eastAsia="Times New Roman" w:hAnsi="Times New Roman" w:cs="Times New Roman"/>
      <w:i/>
      <w:iCs/>
      <w:color w:val="000000"/>
      <w:sz w:val="20"/>
      <w:lang w:bidi="ar-SA"/>
    </w:rPr>
  </w:style>
  <w:style w:type="paragraph" w:styleId="IntenseQuote">
    <w:name w:val="Intense Quote"/>
    <w:basedOn w:val="Normal"/>
    <w:next w:val="Normal"/>
    <w:link w:val="IntenseQuoteChar"/>
    <w:uiPriority w:val="30"/>
    <w:qFormat/>
    <w:rsid w:val="008A1E9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IntenseQuoteChar">
    <w:name w:val="Intense Quote Char"/>
    <w:basedOn w:val="DefaultParagraphFont"/>
    <w:link w:val="IntenseQuote"/>
    <w:uiPriority w:val="30"/>
    <w:rsid w:val="008A1E96"/>
    <w:rPr>
      <w:rFonts w:ascii="Times New Roman" w:eastAsia="Times New Roman" w:hAnsi="Times New Roman" w:cs="Times New Roman"/>
      <w:b/>
      <w:bCs/>
      <w:i/>
      <w:iCs/>
      <w:color w:val="4F81BD"/>
      <w:sz w:val="20"/>
      <w:lang w:bidi="ar-SA"/>
    </w:rPr>
  </w:style>
  <w:style w:type="character" w:styleId="SubtleEmphasis">
    <w:name w:val="Subtle Emphasis"/>
    <w:uiPriority w:val="19"/>
    <w:qFormat/>
    <w:rsid w:val="008A1E96"/>
    <w:rPr>
      <w:i/>
      <w:iCs/>
      <w:color w:val="808080"/>
    </w:rPr>
  </w:style>
  <w:style w:type="character" w:styleId="IntenseEmphasis">
    <w:name w:val="Intense Emphasis"/>
    <w:uiPriority w:val="21"/>
    <w:qFormat/>
    <w:rsid w:val="008A1E96"/>
    <w:rPr>
      <w:b/>
      <w:bCs/>
      <w:i/>
      <w:iCs/>
      <w:color w:val="4F81BD"/>
    </w:rPr>
  </w:style>
  <w:style w:type="character" w:styleId="SubtleReference">
    <w:name w:val="Subtle Reference"/>
    <w:uiPriority w:val="31"/>
    <w:qFormat/>
    <w:rsid w:val="008A1E96"/>
    <w:rPr>
      <w:smallCaps/>
      <w:color w:val="C0504D"/>
      <w:u w:val="single"/>
    </w:rPr>
  </w:style>
  <w:style w:type="character" w:styleId="IntenseReference">
    <w:name w:val="Intense Reference"/>
    <w:uiPriority w:val="32"/>
    <w:qFormat/>
    <w:rsid w:val="008A1E96"/>
    <w:rPr>
      <w:b/>
      <w:bCs/>
      <w:smallCaps/>
      <w:color w:val="C0504D"/>
      <w:spacing w:val="5"/>
      <w:u w:val="single"/>
    </w:rPr>
  </w:style>
  <w:style w:type="character" w:styleId="BookTitle">
    <w:name w:val="Book Title"/>
    <w:uiPriority w:val="33"/>
    <w:qFormat/>
    <w:rsid w:val="008A1E96"/>
    <w:rPr>
      <w:b/>
      <w:bCs/>
      <w:smallCaps/>
      <w:spacing w:val="5"/>
    </w:rPr>
  </w:style>
  <w:style w:type="character" w:customStyle="1" w:styleId="BodyText3Char">
    <w:name w:val="Body Text 3 Char"/>
    <w:link w:val="BodyText3"/>
    <w:rsid w:val="008A1E96"/>
    <w:rPr>
      <w:sz w:val="16"/>
      <w:szCs w:val="16"/>
    </w:rPr>
  </w:style>
  <w:style w:type="paragraph" w:styleId="BodyText3">
    <w:name w:val="Body Text 3"/>
    <w:basedOn w:val="Normal"/>
    <w:link w:val="BodyText3Char"/>
    <w:rsid w:val="008A1E96"/>
    <w:pPr>
      <w:spacing w:after="120" w:line="240" w:lineRule="auto"/>
    </w:pPr>
    <w:rPr>
      <w:sz w:val="16"/>
      <w:szCs w:val="16"/>
      <w:lang w:bidi="hi-IN"/>
    </w:rPr>
  </w:style>
  <w:style w:type="character" w:customStyle="1" w:styleId="BodyText3Char1">
    <w:name w:val="Body Text 3 Char1"/>
    <w:basedOn w:val="DefaultParagraphFont"/>
    <w:uiPriority w:val="99"/>
    <w:semiHidden/>
    <w:rsid w:val="008A1E96"/>
    <w:rPr>
      <w:sz w:val="16"/>
      <w:szCs w:val="16"/>
      <w:lang w:bidi="ar-SA"/>
    </w:rPr>
  </w:style>
  <w:style w:type="paragraph" w:styleId="List">
    <w:name w:val="List"/>
    <w:basedOn w:val="Normal"/>
    <w:rsid w:val="008A1E96"/>
    <w:pPr>
      <w:bidi/>
      <w:spacing w:after="0" w:line="240" w:lineRule="auto"/>
      <w:ind w:left="283" w:hanging="283"/>
    </w:pPr>
    <w:rPr>
      <w:rFonts w:ascii="Times New Roman" w:eastAsia="Times New Roman" w:hAnsi="Times New Roman" w:cs="Times New Roman"/>
      <w:sz w:val="24"/>
      <w:szCs w:val="24"/>
      <w:lang w:bidi="ar-EG"/>
    </w:rPr>
  </w:style>
  <w:style w:type="character" w:customStyle="1" w:styleId="BodyTextChar1">
    <w:name w:val="Body Text Char1"/>
    <w:basedOn w:val="DefaultParagraphFont"/>
    <w:semiHidden/>
    <w:locked/>
    <w:rsid w:val="008A1E96"/>
  </w:style>
  <w:style w:type="character" w:styleId="FollowedHyperlink">
    <w:name w:val="FollowedHyperlink"/>
    <w:uiPriority w:val="99"/>
    <w:semiHidden/>
    <w:unhideWhenUsed/>
    <w:rsid w:val="008A1E96"/>
    <w:rPr>
      <w:color w:val="954F72"/>
      <w:u w:val="single"/>
    </w:rPr>
  </w:style>
  <w:style w:type="paragraph" w:styleId="HTMLPreformatted">
    <w:name w:val="HTML Preformatted"/>
    <w:basedOn w:val="Normal"/>
    <w:link w:val="HTMLPreformattedChar"/>
    <w:uiPriority w:val="99"/>
    <w:semiHidden/>
    <w:unhideWhenUsed/>
    <w:rsid w:val="008A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1E96"/>
    <w:rPr>
      <w:rFonts w:ascii="Courier New" w:eastAsia="Times New Roman" w:hAnsi="Courier New" w:cs="Courier New"/>
      <w:sz w:val="20"/>
      <w:lang w:bidi="ar-SA"/>
    </w:rPr>
  </w:style>
  <w:style w:type="paragraph" w:customStyle="1" w:styleId="Body">
    <w:name w:val="Body"/>
    <w:uiPriority w:val="99"/>
    <w:rsid w:val="008A1E96"/>
    <w:pPr>
      <w:spacing w:after="0" w:line="480" w:lineRule="auto"/>
    </w:pPr>
    <w:rPr>
      <w:rFonts w:ascii="Arial" w:eastAsia="ヒラギノ角ゴ Pro W3" w:hAnsi="Arial" w:cs="Times New Roman"/>
      <w:color w:val="000000"/>
      <w:sz w:val="24"/>
      <w:lang w:bidi="ar-SA"/>
    </w:rPr>
  </w:style>
  <w:style w:type="paragraph" w:customStyle="1" w:styleId="VAFigureCaption">
    <w:name w:val="VA_Figure_Caption"/>
    <w:basedOn w:val="Normal"/>
    <w:next w:val="Normal"/>
    <w:uiPriority w:val="99"/>
    <w:rsid w:val="008A1E96"/>
    <w:pPr>
      <w:spacing w:line="480" w:lineRule="auto"/>
      <w:jc w:val="both"/>
    </w:pPr>
    <w:rPr>
      <w:rFonts w:ascii="Times" w:eastAsia="MS Mincho" w:hAnsi="Times" w:cs="Times New Roman"/>
      <w:sz w:val="24"/>
      <w:szCs w:val="20"/>
    </w:rPr>
  </w:style>
  <w:style w:type="paragraph" w:customStyle="1" w:styleId="TAMainText">
    <w:name w:val="TA_Main_Text"/>
    <w:basedOn w:val="Normal"/>
    <w:uiPriority w:val="99"/>
    <w:rsid w:val="008A1E96"/>
    <w:pPr>
      <w:spacing w:after="0" w:line="480" w:lineRule="auto"/>
      <w:ind w:firstLine="202"/>
      <w:jc w:val="both"/>
    </w:pPr>
    <w:rPr>
      <w:rFonts w:ascii="Times" w:eastAsia="Times New Roman" w:hAnsi="Times" w:cs="Times New Roman"/>
      <w:sz w:val="24"/>
      <w:szCs w:val="20"/>
    </w:rPr>
  </w:style>
  <w:style w:type="paragraph" w:customStyle="1" w:styleId="mb-0">
    <w:name w:val="mb-0"/>
    <w:basedOn w:val="Normal"/>
    <w:uiPriority w:val="99"/>
    <w:rsid w:val="008A1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uiPriority w:val="99"/>
    <w:rsid w:val="008A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
    <w:name w:val="ch"/>
    <w:rsid w:val="008A1E96"/>
  </w:style>
  <w:style w:type="character" w:customStyle="1" w:styleId="smallcaps">
    <w:name w:val="small_caps"/>
    <w:rsid w:val="008A1E96"/>
  </w:style>
  <w:style w:type="character" w:customStyle="1" w:styleId="highlight">
    <w:name w:val="highlight"/>
    <w:rsid w:val="008A1E96"/>
  </w:style>
  <w:style w:type="character" w:customStyle="1" w:styleId="tc">
    <w:name w:val="tc"/>
    <w:rsid w:val="008A1E96"/>
  </w:style>
  <w:style w:type="character" w:customStyle="1" w:styleId="bheading">
    <w:name w:val="b_heading"/>
    <w:rsid w:val="008A1E96"/>
  </w:style>
  <w:style w:type="character" w:customStyle="1" w:styleId="graphictitle">
    <w:name w:val="graphic_title"/>
    <w:rsid w:val="008A1E96"/>
  </w:style>
  <w:style w:type="character" w:customStyle="1" w:styleId="maintitle">
    <w:name w:val="maintitle"/>
    <w:rsid w:val="008A1E96"/>
  </w:style>
  <w:style w:type="character" w:customStyle="1" w:styleId="thterm6">
    <w:name w:val="th_term6"/>
    <w:rsid w:val="008A1E96"/>
  </w:style>
  <w:style w:type="character" w:customStyle="1" w:styleId="titleheading">
    <w:name w:val="title_heading"/>
    <w:rsid w:val="008A1E96"/>
  </w:style>
  <w:style w:type="character" w:customStyle="1" w:styleId="nowrap">
    <w:name w:val="nowrap"/>
    <w:rsid w:val="008A1E96"/>
  </w:style>
  <w:style w:type="character" w:customStyle="1" w:styleId="wd-jnl-art-breadcrumb-title">
    <w:name w:val="wd-jnl-art-breadcrumb-title"/>
    <w:rsid w:val="008A1E96"/>
  </w:style>
  <w:style w:type="character" w:customStyle="1" w:styleId="wd-jnl-art-breadcrumb-vol">
    <w:name w:val="wd-jnl-art-breadcrumb-vol"/>
    <w:rsid w:val="008A1E96"/>
  </w:style>
  <w:style w:type="character" w:customStyle="1" w:styleId="wd-jnl-art-breadcrumb-issue">
    <w:name w:val="wd-jnl-art-breadcrumb-issue"/>
    <w:rsid w:val="008A1E96"/>
  </w:style>
  <w:style w:type="character" w:customStyle="1" w:styleId="gsct1">
    <w:name w:val="gs_ct1"/>
    <w:rsid w:val="008A1E96"/>
  </w:style>
  <w:style w:type="table" w:customStyle="1" w:styleId="TableGrid1">
    <w:name w:val="Table Grid1"/>
    <w:basedOn w:val="TableNormal"/>
    <w:uiPriority w:val="59"/>
    <w:rsid w:val="008A1E96"/>
    <w:pPr>
      <w:spacing w:after="0" w:line="240" w:lineRule="auto"/>
    </w:pPr>
    <w:rPr>
      <w:rFonts w:ascii="Calibri" w:eastAsia="Times New Roman" w:hAnsi="Calibri" w:cs="Arial"/>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uiPriority w:val="39"/>
    <w:rsid w:val="008A1E96"/>
    <w:pPr>
      <w:spacing w:after="0" w:line="240" w:lineRule="auto"/>
    </w:pPr>
    <w:rPr>
      <w:rFonts w:ascii="Calibri" w:eastAsia="Calibri" w:hAnsi="Calibri" w:cs="Arial"/>
      <w:szCs w:val="22"/>
      <w:lang w:val="tr-T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A1E96"/>
    <w:pPr>
      <w:spacing w:after="0" w:line="240" w:lineRule="auto"/>
    </w:pPr>
    <w:rPr>
      <w:rFonts w:ascii="Calibri" w:eastAsia="Calibri" w:hAnsi="Calibri" w:cs="Arial"/>
      <w:szCs w:val="22"/>
      <w:lang w:bidi="ar-S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ableofFigures">
    <w:name w:val="table of figures"/>
    <w:basedOn w:val="Normal"/>
    <w:next w:val="Normal"/>
    <w:uiPriority w:val="99"/>
    <w:unhideWhenUsed/>
    <w:rsid w:val="008A1E96"/>
    <w:pPr>
      <w:bidi/>
      <w:spacing w:after="0"/>
    </w:pPr>
    <w:rPr>
      <w:rFonts w:ascii="Calibri" w:eastAsia="Calibri" w:hAnsi="Calibri" w:cs="Arial"/>
    </w:rPr>
  </w:style>
  <w:style w:type="paragraph" w:styleId="TOC4">
    <w:name w:val="toc 4"/>
    <w:basedOn w:val="Normal"/>
    <w:next w:val="Normal"/>
    <w:autoRedefine/>
    <w:uiPriority w:val="39"/>
    <w:unhideWhenUsed/>
    <w:rsid w:val="008A1E96"/>
    <w:pPr>
      <w:spacing w:after="100" w:line="259" w:lineRule="auto"/>
      <w:ind w:left="660"/>
    </w:pPr>
    <w:rPr>
      <w:rFonts w:ascii="Calibri" w:eastAsia="Times New Roman" w:hAnsi="Calibri" w:cs="Arial"/>
    </w:rPr>
  </w:style>
  <w:style w:type="paragraph" w:styleId="TOC5">
    <w:name w:val="toc 5"/>
    <w:basedOn w:val="Normal"/>
    <w:next w:val="Normal"/>
    <w:autoRedefine/>
    <w:uiPriority w:val="39"/>
    <w:unhideWhenUsed/>
    <w:rsid w:val="008A1E96"/>
    <w:pPr>
      <w:spacing w:after="100" w:line="259" w:lineRule="auto"/>
      <w:ind w:left="880"/>
    </w:pPr>
    <w:rPr>
      <w:rFonts w:ascii="Calibri" w:eastAsia="Times New Roman" w:hAnsi="Calibri" w:cs="Arial"/>
    </w:rPr>
  </w:style>
  <w:style w:type="paragraph" w:styleId="TOC6">
    <w:name w:val="toc 6"/>
    <w:basedOn w:val="Normal"/>
    <w:next w:val="Normal"/>
    <w:autoRedefine/>
    <w:uiPriority w:val="39"/>
    <w:unhideWhenUsed/>
    <w:rsid w:val="008A1E96"/>
    <w:pPr>
      <w:spacing w:after="100" w:line="259" w:lineRule="auto"/>
      <w:ind w:left="1100"/>
    </w:pPr>
    <w:rPr>
      <w:rFonts w:ascii="Calibri" w:eastAsia="Times New Roman" w:hAnsi="Calibri" w:cs="Arial"/>
    </w:rPr>
  </w:style>
  <w:style w:type="paragraph" w:styleId="TOC7">
    <w:name w:val="toc 7"/>
    <w:basedOn w:val="Normal"/>
    <w:next w:val="Normal"/>
    <w:autoRedefine/>
    <w:uiPriority w:val="39"/>
    <w:unhideWhenUsed/>
    <w:rsid w:val="008A1E96"/>
    <w:pPr>
      <w:spacing w:after="100" w:line="259" w:lineRule="auto"/>
      <w:ind w:left="1320"/>
    </w:pPr>
    <w:rPr>
      <w:rFonts w:ascii="Calibri" w:eastAsia="Times New Roman" w:hAnsi="Calibri" w:cs="Arial"/>
    </w:rPr>
  </w:style>
  <w:style w:type="paragraph" w:styleId="TOC8">
    <w:name w:val="toc 8"/>
    <w:basedOn w:val="Normal"/>
    <w:next w:val="Normal"/>
    <w:autoRedefine/>
    <w:uiPriority w:val="39"/>
    <w:unhideWhenUsed/>
    <w:rsid w:val="008A1E96"/>
    <w:pPr>
      <w:spacing w:after="100" w:line="259" w:lineRule="auto"/>
      <w:ind w:left="1540"/>
    </w:pPr>
    <w:rPr>
      <w:rFonts w:ascii="Calibri" w:eastAsia="Times New Roman" w:hAnsi="Calibri" w:cs="Arial"/>
    </w:rPr>
  </w:style>
  <w:style w:type="paragraph" w:styleId="TOC9">
    <w:name w:val="toc 9"/>
    <w:basedOn w:val="Normal"/>
    <w:next w:val="Normal"/>
    <w:autoRedefine/>
    <w:uiPriority w:val="39"/>
    <w:unhideWhenUsed/>
    <w:rsid w:val="008A1E96"/>
    <w:pPr>
      <w:spacing w:after="100" w:line="259" w:lineRule="auto"/>
      <w:ind w:left="1760"/>
    </w:pPr>
    <w:rPr>
      <w:rFonts w:ascii="Calibri" w:eastAsia="Times New Roman" w:hAnsi="Calibri" w:cs="Arial"/>
    </w:rPr>
  </w:style>
  <w:style w:type="character" w:customStyle="1" w:styleId="article-headermeta-info-data">
    <w:name w:val="article-header__meta-info-data"/>
    <w:rsid w:val="008A1E96"/>
  </w:style>
  <w:style w:type="character" w:customStyle="1" w:styleId="title-text">
    <w:name w:val="title-text"/>
    <w:rsid w:val="008A1E96"/>
  </w:style>
  <w:style w:type="paragraph" w:customStyle="1" w:styleId="nova-legacy-e-listitem">
    <w:name w:val="nova-legacy-e-list__item"/>
    <w:basedOn w:val="Normal"/>
    <w:rsid w:val="00DF40A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go">
    <w:name w:val="go"/>
    <w:basedOn w:val="DefaultParagraphFont"/>
    <w:rsid w:val="00581599"/>
  </w:style>
  <w:style w:type="character" w:customStyle="1" w:styleId="ListParagraphChar">
    <w:name w:val="List Paragraph Char"/>
    <w:aliases w:val="PARAGRAPH Char"/>
    <w:link w:val="ListParagraph"/>
    <w:uiPriority w:val="34"/>
    <w:rsid w:val="0073697F"/>
    <w:rPr>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yantisaleh@unhas.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s://www.acgpublishing.com/" TargetMode="External"/><Relationship Id="rId2" Type="http://schemas.openxmlformats.org/officeDocument/2006/relationships/hyperlink" Target="https://www.acgpublishing.com/"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FA74-97EB-4C2E-A22C-095921C7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23520</Words>
  <Characters>134070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Jawed Haider</dc:creator>
  <cp:keywords/>
  <dc:description/>
  <cp:lastModifiedBy>Jawed Haider</cp:lastModifiedBy>
  <cp:revision>77</cp:revision>
  <cp:lastPrinted>2023-11-26T03:15:00Z</cp:lastPrinted>
  <dcterms:created xsi:type="dcterms:W3CDTF">2023-10-18T16:42:00Z</dcterms:created>
  <dcterms:modified xsi:type="dcterms:W3CDTF">2023-11-26T03:15:00Z</dcterms:modified>
</cp:coreProperties>
</file>